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856"/>
        <w:gridCol w:w="6504"/>
      </w:tblGrid>
      <w:tr w:rsidR="005C4D0C" w14:paraId="1E002DF0" w14:textId="77777777" w:rsidTr="00030B2F">
        <w:trPr>
          <w:trHeight w:val="1295"/>
        </w:trPr>
        <w:tc>
          <w:tcPr>
            <w:tcW w:w="2856" w:type="dxa"/>
            <w:shd w:val="clear" w:color="auto" w:fill="FFFFFF"/>
            <w:tcMar>
              <w:top w:w="0" w:type="dxa"/>
              <w:left w:w="108" w:type="dxa"/>
              <w:bottom w:w="0" w:type="dxa"/>
              <w:right w:w="108" w:type="dxa"/>
            </w:tcMar>
            <w:hideMark/>
          </w:tcPr>
          <w:p w14:paraId="486ACCA9" w14:textId="37514E35" w:rsidR="001F3785" w:rsidRDefault="001F3785">
            <w:pPr>
              <w:pStyle w:val="TableofContentsHeading"/>
              <w:spacing w:line="276" w:lineRule="auto"/>
              <w:rPr>
                <w:rFonts w:ascii="Corbel" w:hAnsi="Corbel"/>
                <w:color w:val="FFFFFF"/>
              </w:rPr>
            </w:pPr>
            <w:bookmarkStart w:id="0" w:name="_GoBack"/>
            <w:bookmarkEnd w:id="0"/>
            <w:r>
              <w:rPr>
                <w:rFonts w:ascii="Corbel" w:hAnsi="Corbel"/>
                <w:noProof/>
                <w:color w:val="FFFFFF"/>
              </w:rPr>
              <w:drawing>
                <wp:inline distT="0" distB="0" distL="0" distR="0" wp14:anchorId="4989D986" wp14:editId="47DAFE0F">
                  <wp:extent cx="1676400" cy="971550"/>
                  <wp:effectExtent l="0" t="0" r="0" b="0"/>
                  <wp:docPr id="1" name="Picture 1" descr="cid:image001.jpg@01CF4DBD.3765F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CF4DBD.3765F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noFill/>
                          <a:ln>
                            <a:noFill/>
                          </a:ln>
                        </pic:spPr>
                      </pic:pic>
                    </a:graphicData>
                  </a:graphic>
                </wp:inline>
              </w:drawing>
            </w:r>
          </w:p>
        </w:tc>
        <w:tc>
          <w:tcPr>
            <w:tcW w:w="6504" w:type="dxa"/>
            <w:tcMar>
              <w:top w:w="0" w:type="dxa"/>
              <w:left w:w="108" w:type="dxa"/>
              <w:bottom w:w="0" w:type="dxa"/>
              <w:right w:w="108" w:type="dxa"/>
            </w:tcMar>
          </w:tcPr>
          <w:p w14:paraId="443A4736" w14:textId="77777777" w:rsidR="001F3785" w:rsidRDefault="001F3785">
            <w:pPr>
              <w:jc w:val="center"/>
            </w:pPr>
            <w:r>
              <w:rPr>
                <w:rFonts w:ascii="Calibri" w:hAnsi="Calibri"/>
                <w:color w:val="4F6228"/>
                <w:sz w:val="96"/>
                <w:szCs w:val="96"/>
              </w:rPr>
              <w:t>In-House News</w:t>
            </w:r>
          </w:p>
          <w:p w14:paraId="0ACAB7F7" w14:textId="77777777" w:rsidR="001F3785" w:rsidRDefault="001F3785">
            <w:pPr>
              <w:pStyle w:val="Heading2"/>
              <w:spacing w:before="0" w:line="276" w:lineRule="auto"/>
              <w:ind w:right="946"/>
              <w:jc w:val="center"/>
              <w:rPr>
                <w:rFonts w:ascii="Corbel" w:eastAsia="Times New Roman" w:hAnsi="Corbel"/>
                <w:i/>
                <w:iCs/>
                <w:color w:val="215968"/>
                <w:sz w:val="22"/>
                <w:szCs w:val="22"/>
              </w:rPr>
            </w:pPr>
          </w:p>
        </w:tc>
      </w:tr>
      <w:tr w:rsidR="005C4D0C" w14:paraId="3518C314" w14:textId="77777777" w:rsidTr="00030B2F">
        <w:trPr>
          <w:trHeight w:val="620"/>
        </w:trPr>
        <w:tc>
          <w:tcPr>
            <w:tcW w:w="2856" w:type="dxa"/>
            <w:shd w:val="clear" w:color="auto" w:fill="548DD4"/>
            <w:tcMar>
              <w:top w:w="0" w:type="dxa"/>
              <w:left w:w="108" w:type="dxa"/>
              <w:bottom w:w="0" w:type="dxa"/>
              <w:right w:w="108" w:type="dxa"/>
            </w:tcMar>
            <w:hideMark/>
          </w:tcPr>
          <w:p w14:paraId="07EF144D" w14:textId="3D74891C" w:rsidR="001F3785" w:rsidRDefault="001F3785">
            <w:pPr>
              <w:pStyle w:val="TableofContentsHeading"/>
              <w:spacing w:line="276" w:lineRule="auto"/>
            </w:pPr>
            <w:r>
              <w:rPr>
                <w:rFonts w:ascii="Corbel" w:hAnsi="Corbel"/>
                <w:color w:val="FFFFFF"/>
              </w:rPr>
              <w:t>2</w:t>
            </w:r>
            <w:r w:rsidR="00EE4DB3">
              <w:rPr>
                <w:rFonts w:ascii="Corbel" w:hAnsi="Corbel"/>
                <w:color w:val="FFFFFF"/>
              </w:rPr>
              <w:t>2</w:t>
            </w:r>
            <w:r>
              <w:rPr>
                <w:rFonts w:ascii="Corbel" w:hAnsi="Corbel"/>
                <w:color w:val="FFFFFF"/>
              </w:rPr>
              <w:t xml:space="preserve"> February 2019</w:t>
            </w:r>
          </w:p>
        </w:tc>
        <w:tc>
          <w:tcPr>
            <w:tcW w:w="6504" w:type="dxa"/>
            <w:tcMar>
              <w:top w:w="0" w:type="dxa"/>
              <w:left w:w="108" w:type="dxa"/>
              <w:bottom w:w="0" w:type="dxa"/>
              <w:right w:w="108" w:type="dxa"/>
            </w:tcMar>
            <w:hideMark/>
          </w:tcPr>
          <w:p w14:paraId="79EA85B7" w14:textId="77777777" w:rsidR="001F3785" w:rsidRDefault="001F3785">
            <w:pPr>
              <w:pStyle w:val="Heading2"/>
              <w:spacing w:before="0" w:line="276" w:lineRule="auto"/>
              <w:ind w:right="946"/>
              <w:jc w:val="center"/>
              <w:rPr>
                <w:rFonts w:eastAsia="Times New Roman"/>
              </w:rPr>
            </w:pPr>
            <w:proofErr w:type="spellStart"/>
            <w:r>
              <w:rPr>
                <w:rFonts w:ascii="Corbel" w:eastAsia="Times New Roman" w:hAnsi="Corbel"/>
                <w:color w:val="1F497D"/>
              </w:rPr>
              <w:t>Tēnā</w:t>
            </w:r>
            <w:proofErr w:type="spellEnd"/>
            <w:r>
              <w:rPr>
                <w:rFonts w:ascii="Corbel" w:eastAsia="Times New Roman" w:hAnsi="Corbel"/>
                <w:color w:val="1F497D"/>
              </w:rPr>
              <w:t xml:space="preserve"> </w:t>
            </w:r>
            <w:proofErr w:type="spellStart"/>
            <w:r>
              <w:rPr>
                <w:rFonts w:ascii="Corbel" w:eastAsia="Times New Roman" w:hAnsi="Corbel"/>
                <w:color w:val="1F497D"/>
              </w:rPr>
              <w:t>koutou</w:t>
            </w:r>
            <w:proofErr w:type="spellEnd"/>
            <w:r>
              <w:rPr>
                <w:rFonts w:ascii="Corbel" w:eastAsia="Times New Roman" w:hAnsi="Corbel"/>
                <w:color w:val="1F497D"/>
              </w:rPr>
              <w:t xml:space="preserve"> </w:t>
            </w:r>
            <w:proofErr w:type="spellStart"/>
            <w:r>
              <w:rPr>
                <w:rFonts w:ascii="Corbel" w:eastAsia="Times New Roman" w:hAnsi="Corbel"/>
                <w:color w:val="1F497D"/>
              </w:rPr>
              <w:t>katoa</w:t>
            </w:r>
            <w:proofErr w:type="spellEnd"/>
          </w:p>
        </w:tc>
      </w:tr>
      <w:tr w:rsidR="005C4D0C" w14:paraId="43C17657" w14:textId="77777777" w:rsidTr="00030B2F">
        <w:trPr>
          <w:trHeight w:val="1368"/>
        </w:trPr>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1200AB03" w14:textId="77777777" w:rsidR="001F3785" w:rsidRPr="00472F6C" w:rsidRDefault="001F3785">
            <w:pPr>
              <w:pStyle w:val="TableofContentsHeading"/>
              <w:spacing w:line="276" w:lineRule="auto"/>
              <w:rPr>
                <w:rFonts w:ascii="Calibri" w:hAnsi="Calibri"/>
                <w:color w:val="FBD4B4"/>
                <w:sz w:val="72"/>
                <w:szCs w:val="72"/>
              </w:rPr>
            </w:pPr>
            <w:r w:rsidRPr="00472F6C">
              <w:rPr>
                <w:rFonts w:ascii="Calibri" w:hAnsi="Calibri"/>
                <w:color w:val="FBD4B4"/>
                <w:sz w:val="72"/>
                <w:szCs w:val="72"/>
              </w:rPr>
              <w:t>News</w:t>
            </w:r>
          </w:p>
          <w:p w14:paraId="3EAD5646" w14:textId="77777777" w:rsidR="001F3785" w:rsidRDefault="001F3785"/>
        </w:tc>
        <w:tc>
          <w:tcPr>
            <w:tcW w:w="6504" w:type="dxa"/>
            <w:tcBorders>
              <w:top w:val="nil"/>
              <w:left w:val="nil"/>
              <w:bottom w:val="single" w:sz="8" w:space="0" w:color="auto"/>
              <w:right w:val="nil"/>
            </w:tcBorders>
            <w:tcMar>
              <w:top w:w="0" w:type="dxa"/>
              <w:left w:w="108" w:type="dxa"/>
              <w:bottom w:w="0" w:type="dxa"/>
              <w:right w:w="108" w:type="dxa"/>
            </w:tcMar>
            <w:hideMark/>
          </w:tcPr>
          <w:p w14:paraId="2E9C407D" w14:textId="77777777" w:rsidR="001F3785" w:rsidRDefault="001F3785">
            <w:pPr>
              <w:pStyle w:val="Heading2"/>
              <w:spacing w:before="0" w:line="276" w:lineRule="auto"/>
              <w:ind w:right="946"/>
              <w:jc w:val="center"/>
              <w:rPr>
                <w:rFonts w:ascii="Corbel" w:eastAsia="Times New Roman" w:hAnsi="Corbel"/>
                <w:i/>
                <w:iCs/>
                <w:color w:val="1F497D"/>
                <w:sz w:val="22"/>
                <w:szCs w:val="22"/>
              </w:rPr>
            </w:pPr>
            <w:r>
              <w:rPr>
                <w:rFonts w:ascii="Corbel" w:eastAsia="Times New Roman" w:hAnsi="Corbel"/>
                <w:i/>
                <w:iCs/>
                <w:color w:val="215968"/>
                <w:sz w:val="22"/>
                <w:szCs w:val="22"/>
              </w:rPr>
              <w:t xml:space="preserve">This Bulletin is generally </w:t>
            </w:r>
            <w:r>
              <w:rPr>
                <w:rFonts w:ascii="Corbel" w:eastAsia="Times New Roman" w:hAnsi="Corbel"/>
                <w:i/>
                <w:iCs/>
                <w:color w:val="1F497D"/>
                <w:sz w:val="22"/>
                <w:szCs w:val="22"/>
              </w:rPr>
              <w:t xml:space="preserve">sent to individual contacts in an organization.  Please forward to staff in your organization who may the find the information useful.     Please don’t forward outside of your </w:t>
            </w:r>
            <w:proofErr w:type="spellStart"/>
            <w:r>
              <w:rPr>
                <w:rFonts w:ascii="Corbel" w:eastAsia="Times New Roman" w:hAnsi="Corbel"/>
                <w:i/>
                <w:iCs/>
                <w:color w:val="1F497D"/>
                <w:sz w:val="22"/>
                <w:szCs w:val="22"/>
              </w:rPr>
              <w:t>organisation</w:t>
            </w:r>
            <w:proofErr w:type="spellEnd"/>
            <w:r>
              <w:rPr>
                <w:rFonts w:ascii="Corbel" w:eastAsia="Times New Roman" w:hAnsi="Corbel"/>
                <w:i/>
                <w:iCs/>
                <w:color w:val="1F497D"/>
                <w:sz w:val="22"/>
                <w:szCs w:val="22"/>
              </w:rPr>
              <w:t>, as that undermines the Association’s viability.</w:t>
            </w:r>
          </w:p>
          <w:p w14:paraId="1AD3A083" w14:textId="2B7E7D5E" w:rsidR="00F70039" w:rsidRDefault="00F70039">
            <w:pPr>
              <w:pStyle w:val="Heading2"/>
              <w:spacing w:before="0" w:line="276" w:lineRule="auto"/>
              <w:ind w:right="946"/>
              <w:jc w:val="center"/>
              <w:rPr>
                <w:color w:val="auto"/>
                <w:sz w:val="24"/>
                <w:szCs w:val="24"/>
              </w:rPr>
            </w:pPr>
          </w:p>
        </w:tc>
      </w:tr>
      <w:tr w:rsidR="00BF5B33" w14:paraId="43C536A4"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0C8746EC" w14:textId="0EB68B2E" w:rsidR="00BF5B33" w:rsidRDefault="00BF5B33" w:rsidP="00BF5B33">
            <w:pPr>
              <w:pStyle w:val="TableofContentsEntry"/>
              <w:spacing w:line="276" w:lineRule="auto"/>
              <w:rPr>
                <w:rStyle w:val="Hyperlink"/>
                <w:rFonts w:ascii="Calibri" w:hAnsi="Calibri"/>
                <w:color w:val="FFFFFF"/>
                <w:sz w:val="32"/>
                <w:szCs w:val="32"/>
              </w:rPr>
            </w:pPr>
            <w:proofErr w:type="gramStart"/>
            <w:r>
              <w:rPr>
                <w:rStyle w:val="Hyperlink"/>
                <w:rFonts w:ascii="Symbol" w:hAnsi="Symbol"/>
                <w:color w:val="FFFFFF"/>
                <w:sz w:val="32"/>
                <w:szCs w:val="32"/>
              </w:rPr>
              <w:t></w:t>
            </w:r>
            <w:r>
              <w:rPr>
                <w:rStyle w:val="Hyperlink"/>
                <w:rFonts w:ascii="Times New Roman" w:hAnsi="Times New Roman" w:cs="Times New Roman"/>
                <w:color w:val="FFFFFF"/>
                <w:sz w:val="14"/>
                <w:szCs w:val="14"/>
              </w:rPr>
              <w:t xml:space="preserve">  </w:t>
            </w:r>
            <w:r w:rsidRPr="00326D62">
              <w:rPr>
                <w:rStyle w:val="Hyperlink"/>
                <w:rFonts w:asciiTheme="minorHAnsi" w:hAnsiTheme="minorHAnsi" w:cstheme="minorHAnsi"/>
                <w:color w:val="FFFFFF"/>
                <w:sz w:val="32"/>
                <w:szCs w:val="32"/>
              </w:rPr>
              <w:t>Domestic</w:t>
            </w:r>
            <w:proofErr w:type="gramEnd"/>
            <w:r w:rsidRPr="00326D62">
              <w:rPr>
                <w:rStyle w:val="Hyperlink"/>
                <w:rFonts w:asciiTheme="minorHAnsi" w:hAnsiTheme="minorHAnsi" w:cstheme="minorHAnsi"/>
                <w:color w:val="FFFFFF"/>
                <w:sz w:val="32"/>
                <w:szCs w:val="32"/>
              </w:rPr>
              <w:t xml:space="preserve"> </w:t>
            </w:r>
            <w:r w:rsidR="007213CA">
              <w:rPr>
                <w:rStyle w:val="Hyperlink"/>
                <w:rFonts w:asciiTheme="minorHAnsi" w:hAnsiTheme="minorHAnsi" w:cstheme="minorHAnsi"/>
                <w:color w:val="FFFFFF"/>
                <w:sz w:val="32"/>
                <w:szCs w:val="32"/>
              </w:rPr>
              <w:t>V</w:t>
            </w:r>
            <w:r w:rsidRPr="00326D62">
              <w:rPr>
                <w:rStyle w:val="Hyperlink"/>
                <w:rFonts w:asciiTheme="minorHAnsi" w:hAnsiTheme="minorHAnsi" w:cstheme="minorHAnsi"/>
                <w:color w:val="FFFFFF"/>
                <w:sz w:val="32"/>
                <w:szCs w:val="32"/>
              </w:rPr>
              <w:t>iolence</w:t>
            </w:r>
            <w:r w:rsidR="007213CA">
              <w:rPr>
                <w:rStyle w:val="Hyperlink"/>
                <w:rFonts w:asciiTheme="minorHAnsi" w:hAnsiTheme="minorHAnsi" w:cstheme="minorHAnsi"/>
                <w:color w:val="FFFFFF"/>
                <w:sz w:val="32"/>
                <w:szCs w:val="32"/>
              </w:rPr>
              <w:t xml:space="preserve"> </w:t>
            </w:r>
            <w:r w:rsidRPr="00326D62">
              <w:rPr>
                <w:rStyle w:val="Hyperlink"/>
                <w:rFonts w:asciiTheme="minorHAnsi" w:hAnsiTheme="minorHAnsi" w:cstheme="minorHAnsi"/>
                <w:color w:val="FFFFFF"/>
                <w:sz w:val="32"/>
                <w:szCs w:val="32"/>
              </w:rPr>
              <w:t xml:space="preserve">- Victims’ Protection Act </w:t>
            </w:r>
            <w:r w:rsidR="00326D62" w:rsidRPr="00326D62">
              <w:rPr>
                <w:rStyle w:val="Hyperlink"/>
                <w:rFonts w:asciiTheme="minorHAnsi" w:hAnsiTheme="minorHAnsi" w:cstheme="minorHAnsi"/>
                <w:color w:val="FFFFFF"/>
                <w:sz w:val="32"/>
                <w:szCs w:val="32"/>
              </w:rPr>
              <w:t>2018</w:t>
            </w:r>
          </w:p>
          <w:p w14:paraId="0836264A" w14:textId="54B5EF2F" w:rsidR="00BF5B33" w:rsidRDefault="00BF5B33">
            <w:pPr>
              <w:pStyle w:val="TableofContentsEntry"/>
              <w:spacing w:line="276" w:lineRule="auto"/>
              <w:rPr>
                <w:rStyle w:val="Hyperlink"/>
                <w:rFonts w:ascii="Symbol" w:hAnsi="Symbol"/>
                <w:color w:val="FFFFFF"/>
                <w:sz w:val="32"/>
                <w:szCs w:val="32"/>
              </w:rPr>
            </w:pPr>
          </w:p>
        </w:tc>
        <w:tc>
          <w:tcPr>
            <w:tcW w:w="6504" w:type="dxa"/>
            <w:tcBorders>
              <w:top w:val="nil"/>
              <w:left w:val="nil"/>
              <w:bottom w:val="single" w:sz="8" w:space="0" w:color="auto"/>
              <w:right w:val="nil"/>
            </w:tcBorders>
            <w:tcMar>
              <w:top w:w="0" w:type="dxa"/>
              <w:left w:w="108" w:type="dxa"/>
              <w:bottom w:w="0" w:type="dxa"/>
              <w:right w:w="108" w:type="dxa"/>
            </w:tcMar>
          </w:tcPr>
          <w:p w14:paraId="5274A993" w14:textId="087E17F8" w:rsidR="003A6D2B" w:rsidRPr="001F4DE0" w:rsidRDefault="003A6D2B" w:rsidP="003A6D2B">
            <w:pPr>
              <w:pStyle w:val="TableofContentsEntry"/>
              <w:spacing w:line="276" w:lineRule="auto"/>
              <w:rPr>
                <w:rStyle w:val="Hyperlink"/>
                <w:rFonts w:ascii="Corbel" w:hAnsi="Corbel"/>
                <w:color w:val="1F3864" w:themeColor="accent1" w:themeShade="80"/>
                <w:sz w:val="36"/>
                <w:szCs w:val="36"/>
              </w:rPr>
            </w:pPr>
            <w:r w:rsidRPr="001F4DE0">
              <w:rPr>
                <w:rStyle w:val="Hyperlink"/>
                <w:rFonts w:ascii="Corbel" w:hAnsi="Corbel" w:cstheme="minorHAnsi"/>
                <w:color w:val="1F3864" w:themeColor="accent1" w:themeShade="80"/>
                <w:sz w:val="36"/>
                <w:szCs w:val="36"/>
              </w:rPr>
              <w:t>Domestic Violence</w:t>
            </w:r>
            <w:r w:rsidR="007213CA">
              <w:rPr>
                <w:rStyle w:val="Hyperlink"/>
                <w:rFonts w:ascii="Corbel" w:hAnsi="Corbel" w:cstheme="minorHAnsi"/>
                <w:color w:val="1F3864" w:themeColor="accent1" w:themeShade="80"/>
                <w:sz w:val="36"/>
                <w:szCs w:val="36"/>
              </w:rPr>
              <w:t xml:space="preserve"> </w:t>
            </w:r>
            <w:r w:rsidRPr="001F4DE0">
              <w:rPr>
                <w:rStyle w:val="Hyperlink"/>
                <w:rFonts w:ascii="Corbel" w:hAnsi="Corbel" w:cstheme="minorHAnsi"/>
                <w:color w:val="1F3864" w:themeColor="accent1" w:themeShade="80"/>
                <w:sz w:val="36"/>
                <w:szCs w:val="36"/>
              </w:rPr>
              <w:t>- Victims’ Protection</w:t>
            </w:r>
            <w:r w:rsidR="007213CA">
              <w:rPr>
                <w:rStyle w:val="Hyperlink"/>
                <w:rFonts w:ascii="Corbel" w:hAnsi="Corbel" w:cstheme="minorHAnsi"/>
                <w:color w:val="1F3864" w:themeColor="accent1" w:themeShade="80"/>
                <w:sz w:val="36"/>
                <w:szCs w:val="36"/>
              </w:rPr>
              <w:t xml:space="preserve"> </w:t>
            </w:r>
            <w:r w:rsidRPr="001F4DE0">
              <w:rPr>
                <w:rStyle w:val="Hyperlink"/>
                <w:rFonts w:ascii="Corbel" w:hAnsi="Corbel" w:cstheme="minorHAnsi"/>
                <w:color w:val="1F3864" w:themeColor="accent1" w:themeShade="80"/>
                <w:sz w:val="36"/>
                <w:szCs w:val="36"/>
              </w:rPr>
              <w:t>Act 2018</w:t>
            </w:r>
          </w:p>
          <w:p w14:paraId="3CB13EEB" w14:textId="493BB764" w:rsidR="00BF5B33" w:rsidRDefault="00326D62" w:rsidP="00326D62">
            <w:pPr>
              <w:pStyle w:val="NormalWeb"/>
              <w:spacing w:before="0" w:beforeAutospacing="0" w:after="0" w:afterAutospacing="0" w:line="276" w:lineRule="auto"/>
              <w:rPr>
                <w:rFonts w:ascii="Corbel" w:hAnsi="Corbel" w:cs="Times New Roman"/>
                <w:color w:val="1F497D"/>
                <w:sz w:val="36"/>
                <w:szCs w:val="36"/>
              </w:rPr>
            </w:pPr>
            <w:r w:rsidRPr="00326D62">
              <w:rPr>
                <w:rFonts w:ascii="Times New Roman" w:eastAsia="Times New Roman" w:hAnsi="Times New Roman" w:cs="Times New Roman"/>
                <w:color w:val="1F3864" w:themeColor="accent1" w:themeShade="80"/>
                <w:spacing w:val="2"/>
                <w:sz w:val="20"/>
                <w:szCs w:val="20"/>
              </w:rPr>
              <w:t>The </w:t>
            </w:r>
            <w:hyperlink r:id="rId6" w:tgtFrame="_blank" w:history="1">
              <w:r w:rsidRPr="00326D62">
                <w:rPr>
                  <w:rFonts w:ascii="Times New Roman" w:eastAsia="Times New Roman" w:hAnsi="Times New Roman" w:cs="Times New Roman"/>
                  <w:color w:val="1F3864" w:themeColor="accent1" w:themeShade="80"/>
                  <w:spacing w:val="2"/>
                  <w:sz w:val="20"/>
                  <w:szCs w:val="20"/>
                </w:rPr>
                <w:t>Domestic Violence – Victims' Protection Act 2018</w:t>
              </w:r>
            </w:hyperlink>
            <w:r w:rsidRPr="00326D62">
              <w:rPr>
                <w:rFonts w:ascii="Times New Roman" w:eastAsia="Times New Roman" w:hAnsi="Times New Roman" w:cs="Times New Roman"/>
                <w:color w:val="1F3864" w:themeColor="accent1" w:themeShade="80"/>
                <w:spacing w:val="2"/>
                <w:sz w:val="20"/>
                <w:szCs w:val="20"/>
              </w:rPr>
              <w:t xml:space="preserve"> comes into effect from </w:t>
            </w:r>
            <w:r w:rsidRPr="00326D62">
              <w:rPr>
                <w:rFonts w:ascii="Times New Roman" w:eastAsia="Times New Roman" w:hAnsi="Times New Roman" w:cs="Times New Roman"/>
                <w:b/>
                <w:color w:val="1F3864" w:themeColor="accent1" w:themeShade="80"/>
                <w:spacing w:val="2"/>
                <w:sz w:val="20"/>
                <w:szCs w:val="20"/>
              </w:rPr>
              <w:t>1 April 2019</w:t>
            </w:r>
            <w:r>
              <w:rPr>
                <w:rFonts w:ascii="Times New Roman" w:eastAsia="Times New Roman" w:hAnsi="Times New Roman" w:cs="Times New Roman"/>
                <w:b/>
                <w:color w:val="1F3864" w:themeColor="accent1" w:themeShade="80"/>
                <w:spacing w:val="2"/>
                <w:sz w:val="20"/>
                <w:szCs w:val="20"/>
              </w:rPr>
              <w:t xml:space="preserve">.  </w:t>
            </w:r>
            <w:r w:rsidRPr="00326D62">
              <w:rPr>
                <w:rFonts w:ascii="Times New Roman" w:eastAsia="Times New Roman" w:hAnsi="Times New Roman" w:cs="Times New Roman"/>
                <w:color w:val="1F3864" w:themeColor="accent1" w:themeShade="80"/>
                <w:spacing w:val="2"/>
                <w:sz w:val="20"/>
                <w:szCs w:val="20"/>
              </w:rPr>
              <w:t>Providers are urged to become familiar with the provisions of this Act and attached is general guid</w:t>
            </w:r>
            <w:r w:rsidR="0019216F">
              <w:rPr>
                <w:rFonts w:ascii="Times New Roman" w:eastAsia="Times New Roman" w:hAnsi="Times New Roman" w:cs="Times New Roman"/>
                <w:color w:val="1F3864" w:themeColor="accent1" w:themeShade="80"/>
                <w:spacing w:val="2"/>
                <w:sz w:val="20"/>
                <w:szCs w:val="20"/>
              </w:rPr>
              <w:t>ance</w:t>
            </w:r>
            <w:r>
              <w:rPr>
                <w:rFonts w:ascii="Times New Roman" w:eastAsia="Times New Roman" w:hAnsi="Times New Roman" w:cs="Times New Roman"/>
                <w:color w:val="1F3864" w:themeColor="accent1" w:themeShade="80"/>
                <w:spacing w:val="2"/>
                <w:sz w:val="20"/>
                <w:szCs w:val="20"/>
              </w:rPr>
              <w:t xml:space="preserve"> for members. Individual circumstances will differ</w:t>
            </w:r>
            <w:r w:rsidR="00AF79F6">
              <w:rPr>
                <w:rFonts w:ascii="Times New Roman" w:eastAsia="Times New Roman" w:hAnsi="Times New Roman" w:cs="Times New Roman"/>
                <w:color w:val="1F3864" w:themeColor="accent1" w:themeShade="80"/>
                <w:spacing w:val="2"/>
                <w:sz w:val="20"/>
                <w:szCs w:val="20"/>
              </w:rPr>
              <w:t>,</w:t>
            </w:r>
            <w:r>
              <w:rPr>
                <w:rFonts w:ascii="Times New Roman" w:eastAsia="Times New Roman" w:hAnsi="Times New Roman" w:cs="Times New Roman"/>
                <w:color w:val="1F3864" w:themeColor="accent1" w:themeShade="80"/>
                <w:spacing w:val="2"/>
                <w:sz w:val="20"/>
                <w:szCs w:val="20"/>
              </w:rPr>
              <w:t xml:space="preserve"> and members should seek independent legal advice </w:t>
            </w:r>
            <w:r w:rsidR="00BF244E">
              <w:rPr>
                <w:rFonts w:ascii="Times New Roman" w:eastAsia="Times New Roman" w:hAnsi="Times New Roman" w:cs="Times New Roman"/>
                <w:color w:val="1F3864" w:themeColor="accent1" w:themeShade="80"/>
                <w:spacing w:val="2"/>
                <w:sz w:val="20"/>
                <w:szCs w:val="20"/>
              </w:rPr>
              <w:t xml:space="preserve">on individual cases </w:t>
            </w:r>
            <w:r>
              <w:rPr>
                <w:rFonts w:ascii="Times New Roman" w:eastAsia="Times New Roman" w:hAnsi="Times New Roman" w:cs="Times New Roman"/>
                <w:color w:val="1F3864" w:themeColor="accent1" w:themeShade="80"/>
                <w:spacing w:val="2"/>
                <w:sz w:val="20"/>
                <w:szCs w:val="20"/>
              </w:rPr>
              <w:t>where necessary.</w:t>
            </w:r>
            <w:r>
              <w:rPr>
                <w:rFonts w:ascii="Corbel" w:hAnsi="Corbel" w:cs="Times New Roman"/>
                <w:color w:val="1F497D"/>
                <w:sz w:val="36"/>
                <w:szCs w:val="36"/>
              </w:rPr>
              <w:t xml:space="preserve"> </w:t>
            </w:r>
          </w:p>
          <w:bookmarkStart w:id="1" w:name="_MON_1612170900"/>
          <w:bookmarkEnd w:id="1"/>
          <w:p w14:paraId="2067A8D8" w14:textId="436FB352" w:rsidR="00EE630F" w:rsidRDefault="004D236B" w:rsidP="00EE630F">
            <w:pPr>
              <w:pStyle w:val="NormalWeb"/>
              <w:spacing w:before="0" w:beforeAutospacing="0" w:after="0" w:afterAutospacing="0" w:line="276" w:lineRule="auto"/>
              <w:jc w:val="center"/>
              <w:rPr>
                <w:rFonts w:ascii="Corbel" w:hAnsi="Corbel" w:cs="Times New Roman"/>
                <w:color w:val="1F497D"/>
                <w:sz w:val="36"/>
                <w:szCs w:val="36"/>
              </w:rPr>
            </w:pPr>
            <w:r>
              <w:rPr>
                <w:rFonts w:ascii="Corbel" w:hAnsi="Corbel" w:cs="Times New Roman"/>
                <w:color w:val="1F497D"/>
                <w:sz w:val="36"/>
                <w:szCs w:val="36"/>
              </w:rPr>
              <w:object w:dxaOrig="1508" w:dyaOrig="983" w14:anchorId="0FCD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Word.Document.12" ShapeID="_x0000_i1025" DrawAspect="Icon" ObjectID="_1632902225" r:id="rId8">
                  <o:FieldCodes>\s</o:FieldCodes>
                </o:OLEObject>
              </w:object>
            </w:r>
          </w:p>
        </w:tc>
      </w:tr>
      <w:tr w:rsidR="004D236B" w14:paraId="1D630EFF"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2F060C21" w14:textId="77777777" w:rsidR="004D236B" w:rsidRDefault="004D236B" w:rsidP="004D236B">
            <w:pPr>
              <w:pStyle w:val="Default"/>
              <w:rPr>
                <w:rStyle w:val="Hyperlink"/>
                <w:rFonts w:asciiTheme="minorHAnsi" w:hAnsiTheme="minorHAnsi" w:cstheme="minorHAnsi"/>
                <w:color w:val="FFFFFF"/>
                <w:sz w:val="32"/>
                <w:szCs w:val="32"/>
              </w:rPr>
            </w:pPr>
            <w:proofErr w:type="gramStart"/>
            <w:r>
              <w:rPr>
                <w:rStyle w:val="Hyperlink"/>
                <w:rFonts w:ascii="Symbol" w:hAnsi="Symbol"/>
                <w:color w:val="FFFFFF"/>
                <w:sz w:val="32"/>
                <w:szCs w:val="32"/>
              </w:rPr>
              <w:t></w:t>
            </w:r>
            <w:r>
              <w:rPr>
                <w:rStyle w:val="Hyperlink"/>
                <w:rFonts w:ascii="Times New Roman" w:hAnsi="Times New Roman" w:cs="Times New Roman"/>
                <w:color w:val="FFFFFF"/>
                <w:sz w:val="14"/>
                <w:szCs w:val="14"/>
              </w:rPr>
              <w:t xml:space="preserve">  </w:t>
            </w:r>
            <w:r w:rsidRPr="004D236B">
              <w:rPr>
                <w:rStyle w:val="Hyperlink"/>
                <w:rFonts w:asciiTheme="minorHAnsi" w:hAnsiTheme="minorHAnsi" w:cstheme="minorHAnsi"/>
                <w:color w:val="FFFFFF"/>
                <w:sz w:val="32"/>
                <w:szCs w:val="32"/>
              </w:rPr>
              <w:t>Rest</w:t>
            </w:r>
            <w:proofErr w:type="gramEnd"/>
            <w:r w:rsidRPr="004D236B">
              <w:rPr>
                <w:rStyle w:val="Hyperlink"/>
                <w:rFonts w:asciiTheme="minorHAnsi" w:hAnsiTheme="minorHAnsi" w:cstheme="minorHAnsi"/>
                <w:color w:val="FFFFFF"/>
                <w:sz w:val="32"/>
                <w:szCs w:val="32"/>
              </w:rPr>
              <w:t xml:space="preserve"> and Meal Breaks – Changes to Employment Relations Act 2000</w:t>
            </w:r>
          </w:p>
          <w:p w14:paraId="06AFABA8" w14:textId="328EE578" w:rsidR="004D236B" w:rsidRDefault="004D236B" w:rsidP="004D236B">
            <w:pPr>
              <w:pStyle w:val="Default"/>
              <w:rPr>
                <w:rStyle w:val="Hyperlink"/>
                <w:rFonts w:ascii="Symbol" w:hAnsi="Symbol"/>
                <w:color w:val="FFFFFF"/>
                <w:sz w:val="32"/>
                <w:szCs w:val="32"/>
              </w:rPr>
            </w:pPr>
          </w:p>
        </w:tc>
        <w:tc>
          <w:tcPr>
            <w:tcW w:w="6504" w:type="dxa"/>
            <w:tcBorders>
              <w:top w:val="nil"/>
              <w:left w:val="nil"/>
              <w:bottom w:val="single" w:sz="8" w:space="0" w:color="auto"/>
              <w:right w:val="nil"/>
            </w:tcBorders>
            <w:tcMar>
              <w:top w:w="0" w:type="dxa"/>
              <w:left w:w="108" w:type="dxa"/>
              <w:bottom w:w="0" w:type="dxa"/>
              <w:right w:w="108" w:type="dxa"/>
            </w:tcMar>
          </w:tcPr>
          <w:p w14:paraId="79216C0F" w14:textId="0EE6C8B6" w:rsidR="001F4DE0" w:rsidRPr="001F4DE0" w:rsidRDefault="001F4DE0" w:rsidP="004D236B">
            <w:pPr>
              <w:rPr>
                <w:rFonts w:ascii="Corbel" w:hAnsi="Corbel" w:cs="Times New Roman"/>
                <w:color w:val="1F3864" w:themeColor="accent1" w:themeShade="80"/>
                <w:sz w:val="36"/>
                <w:szCs w:val="36"/>
              </w:rPr>
            </w:pPr>
            <w:r w:rsidRPr="001F4DE0">
              <w:rPr>
                <w:rStyle w:val="Hyperlink"/>
                <w:rFonts w:ascii="Corbel" w:hAnsi="Corbel" w:cstheme="minorHAnsi"/>
                <w:color w:val="1F3864" w:themeColor="accent1" w:themeShade="80"/>
                <w:sz w:val="36"/>
                <w:szCs w:val="36"/>
              </w:rPr>
              <w:t>Rest and Meal Breaks</w:t>
            </w:r>
          </w:p>
          <w:p w14:paraId="32C3FA8F" w14:textId="508453B8" w:rsidR="004D236B" w:rsidRPr="004D236B" w:rsidRDefault="004D236B" w:rsidP="004D236B">
            <w:pPr>
              <w:rPr>
                <w:rFonts w:ascii="Times New Roman" w:eastAsia="Times New Roman" w:hAnsi="Times New Roman" w:cs="Times New Roman"/>
                <w:color w:val="000000"/>
                <w:sz w:val="20"/>
                <w:szCs w:val="20"/>
              </w:rPr>
            </w:pPr>
            <w:r w:rsidRPr="004D236B">
              <w:rPr>
                <w:rFonts w:ascii="Times New Roman" w:hAnsi="Times New Roman" w:cs="Times New Roman"/>
                <w:sz w:val="20"/>
                <w:szCs w:val="20"/>
              </w:rPr>
              <w:t xml:space="preserve">From Monday </w:t>
            </w:r>
            <w:r w:rsidRPr="00DB24DF">
              <w:rPr>
                <w:rFonts w:ascii="Times New Roman" w:hAnsi="Times New Roman" w:cs="Times New Roman"/>
                <w:b/>
                <w:sz w:val="20"/>
                <w:szCs w:val="20"/>
              </w:rPr>
              <w:t>6 May 2019</w:t>
            </w:r>
            <w:r w:rsidRPr="004D236B">
              <w:rPr>
                <w:rFonts w:ascii="Times New Roman" w:hAnsi="Times New Roman" w:cs="Times New Roman"/>
                <w:sz w:val="20"/>
                <w:szCs w:val="20"/>
              </w:rPr>
              <w:t>, a new framework is coming into effect in relation to employment obligations around rest and meal breaks.</w:t>
            </w:r>
            <w:r w:rsidR="00215E21">
              <w:rPr>
                <w:rFonts w:ascii="Times New Roman" w:hAnsi="Times New Roman" w:cs="Times New Roman"/>
                <w:sz w:val="20"/>
                <w:szCs w:val="20"/>
              </w:rPr>
              <w:t xml:space="preserve"> </w:t>
            </w:r>
            <w:r w:rsidR="008A3CD6">
              <w:rPr>
                <w:rFonts w:ascii="Times New Roman" w:hAnsi="Times New Roman" w:cs="Times New Roman"/>
                <w:sz w:val="20"/>
                <w:szCs w:val="20"/>
              </w:rPr>
              <w:t xml:space="preserve">Providers should become familiar with </w:t>
            </w:r>
            <w:r w:rsidR="00544497">
              <w:rPr>
                <w:rFonts w:ascii="Times New Roman" w:hAnsi="Times New Roman" w:cs="Times New Roman"/>
                <w:sz w:val="20"/>
                <w:szCs w:val="20"/>
              </w:rPr>
              <w:t>the implications of these changes and how you will address th</w:t>
            </w:r>
            <w:r w:rsidR="00742945">
              <w:rPr>
                <w:rFonts w:ascii="Times New Roman" w:hAnsi="Times New Roman" w:cs="Times New Roman"/>
                <w:sz w:val="20"/>
                <w:szCs w:val="20"/>
              </w:rPr>
              <w:t>ese</w:t>
            </w:r>
            <w:r w:rsidR="00544497">
              <w:rPr>
                <w:rFonts w:ascii="Times New Roman" w:hAnsi="Times New Roman" w:cs="Times New Roman"/>
                <w:sz w:val="20"/>
                <w:szCs w:val="20"/>
              </w:rPr>
              <w:t xml:space="preserve"> within your own organization.  </w:t>
            </w:r>
            <w:r w:rsidR="00DC4D02">
              <w:rPr>
                <w:rFonts w:ascii="Times New Roman" w:hAnsi="Times New Roman" w:cs="Times New Roman"/>
                <w:sz w:val="20"/>
                <w:szCs w:val="20"/>
              </w:rPr>
              <w:t>Attached is general information in this regard</w:t>
            </w:r>
            <w:r w:rsidR="00FF2A98">
              <w:rPr>
                <w:rFonts w:ascii="Times New Roman" w:hAnsi="Times New Roman" w:cs="Times New Roman"/>
                <w:sz w:val="20"/>
                <w:szCs w:val="20"/>
              </w:rPr>
              <w:t>,</w:t>
            </w:r>
            <w:r w:rsidR="00DC4D02">
              <w:rPr>
                <w:rFonts w:ascii="Times New Roman" w:hAnsi="Times New Roman" w:cs="Times New Roman"/>
                <w:sz w:val="20"/>
                <w:szCs w:val="20"/>
              </w:rPr>
              <w:t xml:space="preserve"> but it is stressed that </w:t>
            </w:r>
            <w:r w:rsidR="00A85167">
              <w:rPr>
                <w:rFonts w:ascii="Times New Roman" w:hAnsi="Times New Roman" w:cs="Times New Roman"/>
                <w:sz w:val="20"/>
                <w:szCs w:val="20"/>
              </w:rPr>
              <w:t xml:space="preserve">the each </w:t>
            </w:r>
            <w:proofErr w:type="spellStart"/>
            <w:r w:rsidR="00A85167">
              <w:rPr>
                <w:rFonts w:ascii="Times New Roman" w:hAnsi="Times New Roman" w:cs="Times New Roman"/>
                <w:sz w:val="20"/>
                <w:szCs w:val="20"/>
              </w:rPr>
              <w:t>organisations</w:t>
            </w:r>
            <w:proofErr w:type="spellEnd"/>
            <w:r w:rsidR="00A85167">
              <w:rPr>
                <w:rFonts w:ascii="Times New Roman" w:hAnsi="Times New Roman" w:cs="Times New Roman"/>
                <w:sz w:val="20"/>
                <w:szCs w:val="20"/>
              </w:rPr>
              <w:t xml:space="preserve"> mode of operation </w:t>
            </w:r>
            <w:r w:rsidR="00FF2A98">
              <w:rPr>
                <w:rFonts w:ascii="Times New Roman" w:hAnsi="Times New Roman" w:cs="Times New Roman"/>
                <w:sz w:val="20"/>
                <w:szCs w:val="20"/>
              </w:rPr>
              <w:t xml:space="preserve">may </w:t>
            </w:r>
            <w:r w:rsidR="0001098D">
              <w:rPr>
                <w:rFonts w:ascii="Times New Roman" w:hAnsi="Times New Roman" w:cs="Times New Roman"/>
                <w:sz w:val="20"/>
                <w:szCs w:val="20"/>
              </w:rPr>
              <w:t xml:space="preserve">differ </w:t>
            </w:r>
            <w:r w:rsidR="00FF2A98">
              <w:rPr>
                <w:rFonts w:ascii="Times New Roman" w:hAnsi="Times New Roman" w:cs="Times New Roman"/>
                <w:sz w:val="20"/>
                <w:szCs w:val="20"/>
              </w:rPr>
              <w:t>and you are urged to seek</w:t>
            </w:r>
            <w:r w:rsidR="0001098D">
              <w:rPr>
                <w:rFonts w:ascii="Times New Roman" w:hAnsi="Times New Roman" w:cs="Times New Roman"/>
                <w:sz w:val="20"/>
                <w:szCs w:val="20"/>
              </w:rPr>
              <w:t xml:space="preserve"> independent advice </w:t>
            </w:r>
            <w:r w:rsidR="00A85167">
              <w:rPr>
                <w:rFonts w:ascii="Times New Roman" w:hAnsi="Times New Roman" w:cs="Times New Roman"/>
                <w:sz w:val="20"/>
                <w:szCs w:val="20"/>
              </w:rPr>
              <w:t xml:space="preserve">on </w:t>
            </w:r>
            <w:r w:rsidR="00165196">
              <w:rPr>
                <w:rFonts w:ascii="Times New Roman" w:hAnsi="Times New Roman" w:cs="Times New Roman"/>
                <w:sz w:val="20"/>
                <w:szCs w:val="20"/>
              </w:rPr>
              <w:t xml:space="preserve">how </w:t>
            </w:r>
            <w:r w:rsidR="00211EB1">
              <w:rPr>
                <w:rFonts w:ascii="Times New Roman" w:hAnsi="Times New Roman" w:cs="Times New Roman"/>
                <w:sz w:val="20"/>
                <w:szCs w:val="20"/>
              </w:rPr>
              <w:t>this should be addressed</w:t>
            </w:r>
            <w:r w:rsidR="00773E43">
              <w:rPr>
                <w:rFonts w:ascii="Times New Roman" w:hAnsi="Times New Roman" w:cs="Times New Roman"/>
                <w:sz w:val="20"/>
                <w:szCs w:val="20"/>
              </w:rPr>
              <w:t xml:space="preserve"> by your </w:t>
            </w:r>
            <w:proofErr w:type="spellStart"/>
            <w:r w:rsidR="00773E43">
              <w:rPr>
                <w:rFonts w:ascii="Times New Roman" w:hAnsi="Times New Roman" w:cs="Times New Roman"/>
                <w:sz w:val="20"/>
                <w:szCs w:val="20"/>
              </w:rPr>
              <w:t>organisation</w:t>
            </w:r>
            <w:proofErr w:type="spellEnd"/>
            <w:r w:rsidR="00DE589D">
              <w:rPr>
                <w:rFonts w:ascii="Times New Roman" w:hAnsi="Times New Roman" w:cs="Times New Roman"/>
                <w:sz w:val="20"/>
                <w:szCs w:val="20"/>
              </w:rPr>
              <w:t>.</w:t>
            </w:r>
            <w:r w:rsidR="00544497">
              <w:rPr>
                <w:rFonts w:ascii="Times New Roman" w:hAnsi="Times New Roman" w:cs="Times New Roman"/>
                <w:sz w:val="20"/>
                <w:szCs w:val="20"/>
              </w:rPr>
              <w:t xml:space="preserve"> </w:t>
            </w:r>
          </w:p>
          <w:p w14:paraId="63A08579" w14:textId="290894A8" w:rsidR="004D236B" w:rsidRDefault="00AF79F6" w:rsidP="004D236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508" w:dyaOrig="983" w14:anchorId="235552E6">
                <v:shape id="_x0000_i1026" type="#_x0000_t75" style="width:75.5pt;height:49pt" o:ole="">
                  <v:imagedata r:id="rId9" o:title=""/>
                </v:shape>
                <o:OLEObject Type="Embed" ProgID="AcroExch.Document.DC" ShapeID="_x0000_i1026" DrawAspect="Icon" ObjectID="_1632902226" r:id="rId10"/>
              </w:object>
            </w:r>
          </w:p>
          <w:p w14:paraId="4FECCCB1" w14:textId="11F6CEC0" w:rsidR="00DE589D" w:rsidRDefault="00DE589D" w:rsidP="00DE589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HCHA is acutely aware of the potential adverse financial </w:t>
            </w:r>
            <w:r w:rsidR="00BA6803">
              <w:rPr>
                <w:rFonts w:ascii="Times New Roman" w:eastAsia="Times New Roman" w:hAnsi="Times New Roman" w:cs="Times New Roman"/>
                <w:color w:val="000000"/>
                <w:sz w:val="20"/>
                <w:szCs w:val="20"/>
              </w:rPr>
              <w:t xml:space="preserve">implications of this </w:t>
            </w:r>
            <w:r w:rsidR="00DC1286">
              <w:rPr>
                <w:rFonts w:ascii="Times New Roman" w:eastAsia="Times New Roman" w:hAnsi="Times New Roman" w:cs="Times New Roman"/>
                <w:color w:val="000000"/>
                <w:sz w:val="20"/>
                <w:szCs w:val="20"/>
              </w:rPr>
              <w:t>legislation together with potential Health &amp; Sa</w:t>
            </w:r>
            <w:r w:rsidR="00C200E1">
              <w:rPr>
                <w:rFonts w:ascii="Times New Roman" w:eastAsia="Times New Roman" w:hAnsi="Times New Roman" w:cs="Times New Roman"/>
                <w:color w:val="000000"/>
                <w:sz w:val="20"/>
                <w:szCs w:val="20"/>
              </w:rPr>
              <w:t>f</w:t>
            </w:r>
            <w:r w:rsidR="00DC1286">
              <w:rPr>
                <w:rFonts w:ascii="Times New Roman" w:eastAsia="Times New Roman" w:hAnsi="Times New Roman" w:cs="Times New Roman"/>
                <w:color w:val="000000"/>
                <w:sz w:val="20"/>
                <w:szCs w:val="20"/>
              </w:rPr>
              <w:t>ety issues that could arise</w:t>
            </w:r>
            <w:r w:rsidR="00C200E1">
              <w:rPr>
                <w:rFonts w:ascii="Times New Roman" w:eastAsia="Times New Roman" w:hAnsi="Times New Roman" w:cs="Times New Roman"/>
                <w:color w:val="000000"/>
                <w:sz w:val="20"/>
                <w:szCs w:val="20"/>
              </w:rPr>
              <w:t xml:space="preserve">. We are raising </w:t>
            </w:r>
            <w:proofErr w:type="gramStart"/>
            <w:r w:rsidR="00C200E1">
              <w:rPr>
                <w:rFonts w:ascii="Times New Roman" w:eastAsia="Times New Roman" w:hAnsi="Times New Roman" w:cs="Times New Roman"/>
                <w:color w:val="000000"/>
                <w:sz w:val="20"/>
                <w:szCs w:val="20"/>
              </w:rPr>
              <w:t>th</w:t>
            </w:r>
            <w:r w:rsidR="007A1C65">
              <w:rPr>
                <w:rFonts w:ascii="Times New Roman" w:eastAsia="Times New Roman" w:hAnsi="Times New Roman" w:cs="Times New Roman"/>
                <w:color w:val="000000"/>
                <w:sz w:val="20"/>
                <w:szCs w:val="20"/>
              </w:rPr>
              <w:t>ese</w:t>
            </w:r>
            <w:r w:rsidR="00C200E1">
              <w:rPr>
                <w:rFonts w:ascii="Times New Roman" w:eastAsia="Times New Roman" w:hAnsi="Times New Roman" w:cs="Times New Roman"/>
                <w:color w:val="000000"/>
                <w:sz w:val="20"/>
                <w:szCs w:val="20"/>
              </w:rPr>
              <w:t xml:space="preserve"> issue</w:t>
            </w:r>
            <w:proofErr w:type="gramEnd"/>
            <w:r w:rsidR="00C200E1">
              <w:rPr>
                <w:rFonts w:ascii="Times New Roman" w:eastAsia="Times New Roman" w:hAnsi="Times New Roman" w:cs="Times New Roman"/>
                <w:color w:val="000000"/>
                <w:sz w:val="20"/>
                <w:szCs w:val="20"/>
              </w:rPr>
              <w:t xml:space="preserve"> </w:t>
            </w:r>
            <w:r w:rsidR="00671A91">
              <w:rPr>
                <w:rFonts w:ascii="Times New Roman" w:eastAsia="Times New Roman" w:hAnsi="Times New Roman" w:cs="Times New Roman"/>
                <w:color w:val="000000"/>
                <w:sz w:val="20"/>
                <w:szCs w:val="20"/>
              </w:rPr>
              <w:t>at all working groups and meetings</w:t>
            </w:r>
            <w:r w:rsidR="007A1C65">
              <w:rPr>
                <w:rFonts w:ascii="Times New Roman" w:eastAsia="Times New Roman" w:hAnsi="Times New Roman" w:cs="Times New Roman"/>
                <w:color w:val="000000"/>
                <w:sz w:val="20"/>
                <w:szCs w:val="20"/>
              </w:rPr>
              <w:t>,</w:t>
            </w:r>
            <w:r w:rsidR="00671A91">
              <w:rPr>
                <w:rFonts w:ascii="Times New Roman" w:eastAsia="Times New Roman" w:hAnsi="Times New Roman" w:cs="Times New Roman"/>
                <w:color w:val="000000"/>
                <w:sz w:val="20"/>
                <w:szCs w:val="20"/>
              </w:rPr>
              <w:t xml:space="preserve"> with </w:t>
            </w:r>
            <w:r w:rsidR="00B17B87">
              <w:rPr>
                <w:rFonts w:ascii="Times New Roman" w:eastAsia="Times New Roman" w:hAnsi="Times New Roman" w:cs="Times New Roman"/>
                <w:color w:val="000000"/>
                <w:sz w:val="20"/>
                <w:szCs w:val="20"/>
              </w:rPr>
              <w:t xml:space="preserve">the Ministry of Health and </w:t>
            </w:r>
            <w:r w:rsidR="00671A91">
              <w:rPr>
                <w:rFonts w:ascii="Times New Roman" w:eastAsia="Times New Roman" w:hAnsi="Times New Roman" w:cs="Times New Roman"/>
                <w:color w:val="000000"/>
                <w:sz w:val="20"/>
                <w:szCs w:val="20"/>
              </w:rPr>
              <w:t xml:space="preserve">funder </w:t>
            </w:r>
            <w:proofErr w:type="spellStart"/>
            <w:r w:rsidR="00671A91">
              <w:rPr>
                <w:rFonts w:ascii="Times New Roman" w:eastAsia="Times New Roman" w:hAnsi="Times New Roman" w:cs="Times New Roman"/>
                <w:color w:val="000000"/>
                <w:sz w:val="20"/>
                <w:szCs w:val="20"/>
              </w:rPr>
              <w:t>organisations</w:t>
            </w:r>
            <w:proofErr w:type="spellEnd"/>
            <w:r w:rsidR="007A1C65">
              <w:rPr>
                <w:rFonts w:ascii="Times New Roman" w:eastAsia="Times New Roman" w:hAnsi="Times New Roman" w:cs="Times New Roman"/>
                <w:color w:val="000000"/>
                <w:sz w:val="20"/>
                <w:szCs w:val="20"/>
              </w:rPr>
              <w:t>,</w:t>
            </w:r>
            <w:r w:rsidR="00B17B87">
              <w:rPr>
                <w:rFonts w:ascii="Times New Roman" w:eastAsia="Times New Roman" w:hAnsi="Times New Roman" w:cs="Times New Roman"/>
                <w:color w:val="000000"/>
                <w:sz w:val="20"/>
                <w:szCs w:val="20"/>
              </w:rPr>
              <w:t xml:space="preserve"> in an attempt to find </w:t>
            </w:r>
            <w:r w:rsidR="00825315">
              <w:rPr>
                <w:rFonts w:ascii="Times New Roman" w:eastAsia="Times New Roman" w:hAnsi="Times New Roman" w:cs="Times New Roman"/>
                <w:color w:val="000000"/>
                <w:sz w:val="20"/>
                <w:szCs w:val="20"/>
              </w:rPr>
              <w:t>solutions.  However</w:t>
            </w:r>
            <w:r w:rsidR="007A1C65">
              <w:rPr>
                <w:rFonts w:ascii="Times New Roman" w:eastAsia="Times New Roman" w:hAnsi="Times New Roman" w:cs="Times New Roman"/>
                <w:color w:val="000000"/>
                <w:sz w:val="20"/>
                <w:szCs w:val="20"/>
              </w:rPr>
              <w:t>,</w:t>
            </w:r>
            <w:r w:rsidR="00825315">
              <w:rPr>
                <w:rFonts w:ascii="Times New Roman" w:eastAsia="Times New Roman" w:hAnsi="Times New Roman" w:cs="Times New Roman"/>
                <w:color w:val="000000"/>
                <w:sz w:val="20"/>
                <w:szCs w:val="20"/>
              </w:rPr>
              <w:t xml:space="preserve"> </w:t>
            </w:r>
            <w:r w:rsidR="002170C9">
              <w:rPr>
                <w:rFonts w:ascii="Times New Roman" w:eastAsia="Times New Roman" w:hAnsi="Times New Roman" w:cs="Times New Roman"/>
                <w:color w:val="000000"/>
                <w:sz w:val="20"/>
                <w:szCs w:val="20"/>
              </w:rPr>
              <w:t xml:space="preserve">each </w:t>
            </w:r>
            <w:proofErr w:type="spellStart"/>
            <w:r w:rsidR="007451E5">
              <w:rPr>
                <w:rFonts w:ascii="Times New Roman" w:eastAsia="Times New Roman" w:hAnsi="Times New Roman" w:cs="Times New Roman"/>
                <w:color w:val="000000"/>
                <w:sz w:val="20"/>
                <w:szCs w:val="20"/>
              </w:rPr>
              <w:t>organisations</w:t>
            </w:r>
            <w:proofErr w:type="spellEnd"/>
            <w:r w:rsidR="007451E5">
              <w:rPr>
                <w:rFonts w:ascii="Times New Roman" w:eastAsia="Times New Roman" w:hAnsi="Times New Roman" w:cs="Times New Roman"/>
                <w:color w:val="000000"/>
                <w:sz w:val="20"/>
                <w:szCs w:val="20"/>
              </w:rPr>
              <w:t xml:space="preserve"> will need to adhere to the new requirements as from 6 May 2019</w:t>
            </w:r>
            <w:r w:rsidR="00742945">
              <w:rPr>
                <w:rFonts w:ascii="Times New Roman" w:eastAsia="Times New Roman" w:hAnsi="Times New Roman" w:cs="Times New Roman"/>
                <w:color w:val="000000"/>
                <w:sz w:val="20"/>
                <w:szCs w:val="20"/>
              </w:rPr>
              <w:t>.</w:t>
            </w:r>
          </w:p>
          <w:p w14:paraId="45E80D7C" w14:textId="77777777" w:rsidR="007451E5" w:rsidRDefault="007451E5" w:rsidP="00DE589D">
            <w:pPr>
              <w:rPr>
                <w:rFonts w:ascii="Times New Roman" w:eastAsia="Times New Roman" w:hAnsi="Times New Roman" w:cs="Times New Roman"/>
                <w:color w:val="000000"/>
                <w:sz w:val="20"/>
                <w:szCs w:val="20"/>
              </w:rPr>
            </w:pPr>
          </w:p>
          <w:p w14:paraId="1C590009" w14:textId="3BB26561" w:rsidR="00331525" w:rsidRPr="00326D62" w:rsidRDefault="00331525" w:rsidP="00DE589D">
            <w:pPr>
              <w:rPr>
                <w:rFonts w:ascii="Times New Roman" w:eastAsia="Times New Roman" w:hAnsi="Times New Roman" w:cs="Times New Roman"/>
                <w:color w:val="000000"/>
                <w:sz w:val="20"/>
                <w:szCs w:val="20"/>
              </w:rPr>
            </w:pPr>
          </w:p>
        </w:tc>
      </w:tr>
      <w:tr w:rsidR="00BF5B33" w14:paraId="12C552F7"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661700A0" w14:textId="5D2B976C" w:rsidR="001417DF" w:rsidRDefault="001417DF" w:rsidP="003A6D2B">
            <w:pPr>
              <w:pStyle w:val="TableofContentsEntry"/>
              <w:spacing w:line="276" w:lineRule="auto"/>
              <w:rPr>
                <w:rStyle w:val="Hyperlink"/>
                <w:rFonts w:ascii="Symbol" w:hAnsi="Symbol"/>
                <w:color w:val="FFFFFF"/>
                <w:sz w:val="32"/>
                <w:szCs w:val="32"/>
              </w:rPr>
            </w:pPr>
            <w:proofErr w:type="gramStart"/>
            <w:r>
              <w:rPr>
                <w:rStyle w:val="Hyperlink"/>
                <w:rFonts w:ascii="Symbol" w:hAnsi="Symbol"/>
                <w:color w:val="FFFFFF"/>
                <w:sz w:val="32"/>
                <w:szCs w:val="32"/>
              </w:rPr>
              <w:lastRenderedPageBreak/>
              <w:t></w:t>
            </w:r>
            <w:r w:rsidRPr="00331525">
              <w:rPr>
                <w:rStyle w:val="Hyperlink"/>
                <w:rFonts w:asciiTheme="minorHAnsi" w:hAnsiTheme="minorHAnsi" w:cstheme="minorHAnsi"/>
                <w:color w:val="FFFFFF"/>
                <w:sz w:val="14"/>
                <w:szCs w:val="14"/>
              </w:rPr>
              <w:t xml:space="preserve">  </w:t>
            </w:r>
            <w:r w:rsidR="00331525" w:rsidRPr="00331525">
              <w:rPr>
                <w:rStyle w:val="Hyperlink"/>
                <w:rFonts w:asciiTheme="minorHAnsi" w:hAnsiTheme="minorHAnsi" w:cstheme="minorHAnsi"/>
                <w:color w:val="FFFFFF"/>
                <w:sz w:val="32"/>
                <w:szCs w:val="32"/>
              </w:rPr>
              <w:t>Advocacy</w:t>
            </w:r>
            <w:proofErr w:type="gramEnd"/>
          </w:p>
        </w:tc>
        <w:tc>
          <w:tcPr>
            <w:tcW w:w="6504" w:type="dxa"/>
            <w:tcBorders>
              <w:top w:val="nil"/>
              <w:left w:val="nil"/>
              <w:bottom w:val="single" w:sz="8" w:space="0" w:color="auto"/>
              <w:right w:val="nil"/>
            </w:tcBorders>
            <w:tcMar>
              <w:top w:w="0" w:type="dxa"/>
              <w:left w:w="108" w:type="dxa"/>
              <w:bottom w:w="0" w:type="dxa"/>
              <w:right w:w="108" w:type="dxa"/>
            </w:tcMar>
          </w:tcPr>
          <w:p w14:paraId="64F1BDB1" w14:textId="77777777" w:rsidR="00E9015C" w:rsidRPr="004B7F9D" w:rsidRDefault="00331525" w:rsidP="00326D62">
            <w:pPr>
              <w:pStyle w:val="NormalWeb"/>
              <w:rPr>
                <w:rStyle w:val="Hyperlink"/>
                <w:rFonts w:ascii="Corbel" w:hAnsi="Corbel" w:cstheme="minorHAnsi"/>
                <w:color w:val="1F3864" w:themeColor="accent1" w:themeShade="80"/>
                <w:sz w:val="36"/>
                <w:szCs w:val="36"/>
              </w:rPr>
            </w:pPr>
            <w:r w:rsidRPr="004B7F9D">
              <w:rPr>
                <w:rStyle w:val="Hyperlink"/>
                <w:rFonts w:ascii="Corbel" w:hAnsi="Corbel" w:cstheme="minorHAnsi"/>
                <w:color w:val="1F3864" w:themeColor="accent1" w:themeShade="80"/>
                <w:sz w:val="36"/>
                <w:szCs w:val="36"/>
              </w:rPr>
              <w:t>Advocacy</w:t>
            </w:r>
          </w:p>
          <w:p w14:paraId="7701F024" w14:textId="77777777" w:rsidR="00331525" w:rsidRPr="004B7F9D" w:rsidRDefault="00331525" w:rsidP="00326D62">
            <w:pPr>
              <w:pStyle w:val="NormalWeb"/>
              <w:rPr>
                <w:rFonts w:ascii="Times New Roman" w:hAnsi="Times New Roman" w:cs="Times New Roman"/>
                <w:color w:val="1F3864" w:themeColor="accent1" w:themeShade="80"/>
                <w:sz w:val="20"/>
                <w:szCs w:val="20"/>
                <w:shd w:val="clear" w:color="auto" w:fill="FFFFFF"/>
              </w:rPr>
            </w:pPr>
            <w:r w:rsidRPr="004B7F9D">
              <w:rPr>
                <w:rStyle w:val="Hyperlink"/>
                <w:rFonts w:ascii="Times New Roman" w:hAnsi="Times New Roman" w:cs="Times New Roman"/>
                <w:color w:val="1F3864" w:themeColor="accent1" w:themeShade="80"/>
                <w:sz w:val="20"/>
                <w:szCs w:val="20"/>
              </w:rPr>
              <w:t>HCHA is continuing to take part in the HCHA/</w:t>
            </w:r>
            <w:proofErr w:type="spellStart"/>
            <w:r w:rsidRPr="004B7F9D">
              <w:rPr>
                <w:rStyle w:val="Hyperlink"/>
                <w:rFonts w:ascii="Times New Roman" w:hAnsi="Times New Roman" w:cs="Times New Roman"/>
                <w:color w:val="1F3864" w:themeColor="accent1" w:themeShade="80"/>
                <w:sz w:val="20"/>
                <w:szCs w:val="20"/>
              </w:rPr>
              <w:t>MoH</w:t>
            </w:r>
            <w:proofErr w:type="spellEnd"/>
            <w:r w:rsidRPr="004B7F9D">
              <w:rPr>
                <w:rStyle w:val="Hyperlink"/>
                <w:rFonts w:ascii="Times New Roman" w:hAnsi="Times New Roman" w:cs="Times New Roman"/>
                <w:color w:val="1F3864" w:themeColor="accent1" w:themeShade="80"/>
                <w:sz w:val="20"/>
                <w:szCs w:val="20"/>
              </w:rPr>
              <w:t xml:space="preserve">/DHB Working Group on integrating pay equity into funder pricing. There is a wish by </w:t>
            </w:r>
            <w:proofErr w:type="spellStart"/>
            <w:r w:rsidRPr="004B7F9D">
              <w:rPr>
                <w:rFonts w:ascii="Times New Roman" w:hAnsi="Times New Roman" w:cs="Times New Roman"/>
                <w:color w:val="1F3864" w:themeColor="accent1" w:themeShade="80"/>
                <w:sz w:val="20"/>
                <w:szCs w:val="20"/>
                <w:shd w:val="clear" w:color="auto" w:fill="FFFFFF"/>
              </w:rPr>
              <w:t>MoH</w:t>
            </w:r>
            <w:proofErr w:type="spellEnd"/>
            <w:r w:rsidRPr="004B7F9D">
              <w:rPr>
                <w:rFonts w:ascii="Times New Roman" w:hAnsi="Times New Roman" w:cs="Times New Roman"/>
                <w:color w:val="1F3864" w:themeColor="accent1" w:themeShade="80"/>
                <w:sz w:val="20"/>
                <w:szCs w:val="20"/>
                <w:shd w:val="clear" w:color="auto" w:fill="FFFFFF"/>
              </w:rPr>
              <w:t xml:space="preserve"> also to include IBT and guaranteed hours into this pricing approach.  We will continue to resist any transfer of pricing unless we can be certain that we do not lose protection that is currently in place via the Settlement Agreement and “no disadvantage” agreements.</w:t>
            </w:r>
          </w:p>
          <w:p w14:paraId="030D4C43" w14:textId="6232EC56" w:rsidR="004B7F9D" w:rsidRDefault="00331525" w:rsidP="004B7F9D">
            <w:pPr>
              <w:pStyle w:val="NormalWeb"/>
              <w:rPr>
                <w:rFonts w:ascii="Times New Roman" w:hAnsi="Times New Roman" w:cs="Times New Roman"/>
                <w:color w:val="1F3864" w:themeColor="accent1" w:themeShade="80"/>
                <w:sz w:val="20"/>
                <w:szCs w:val="20"/>
                <w:shd w:val="clear" w:color="auto" w:fill="FFFFFF"/>
              </w:rPr>
            </w:pPr>
            <w:r w:rsidRPr="004B7F9D">
              <w:rPr>
                <w:rFonts w:ascii="Times New Roman" w:hAnsi="Times New Roman" w:cs="Times New Roman"/>
                <w:color w:val="1F3864" w:themeColor="accent1" w:themeShade="80"/>
                <w:sz w:val="20"/>
                <w:szCs w:val="20"/>
                <w:shd w:val="clear" w:color="auto" w:fill="FFFFFF"/>
              </w:rPr>
              <w:t xml:space="preserve">HCHA, Provider Settlement Parties and Unions are jointly meeting with the DG </w:t>
            </w:r>
            <w:r w:rsidR="004B7F9D" w:rsidRPr="004B7F9D">
              <w:rPr>
                <w:rFonts w:ascii="Times New Roman" w:hAnsi="Times New Roman" w:cs="Times New Roman"/>
                <w:color w:val="1F3864" w:themeColor="accent1" w:themeShade="80"/>
                <w:sz w:val="20"/>
                <w:szCs w:val="20"/>
                <w:shd w:val="clear" w:color="auto" w:fill="FFFFFF"/>
              </w:rPr>
              <w:t xml:space="preserve">of </w:t>
            </w:r>
            <w:r w:rsidR="004B7F9D">
              <w:rPr>
                <w:rFonts w:ascii="Times New Roman" w:hAnsi="Times New Roman" w:cs="Times New Roman"/>
                <w:color w:val="1F3864" w:themeColor="accent1" w:themeShade="80"/>
                <w:sz w:val="20"/>
                <w:szCs w:val="20"/>
                <w:shd w:val="clear" w:color="auto" w:fill="FFFFFF"/>
              </w:rPr>
              <w:t xml:space="preserve">the </w:t>
            </w:r>
            <w:r w:rsidR="004B7F9D" w:rsidRPr="004B7F9D">
              <w:rPr>
                <w:rFonts w:ascii="Times New Roman" w:hAnsi="Times New Roman" w:cs="Times New Roman"/>
                <w:color w:val="1F3864" w:themeColor="accent1" w:themeShade="80"/>
                <w:sz w:val="20"/>
                <w:szCs w:val="20"/>
                <w:shd w:val="clear" w:color="auto" w:fill="FFFFFF"/>
              </w:rPr>
              <w:t>Ministry of Health on 26</w:t>
            </w:r>
            <w:r w:rsidR="004B7F9D" w:rsidRPr="004B7F9D">
              <w:rPr>
                <w:rFonts w:ascii="Times New Roman" w:hAnsi="Times New Roman" w:cs="Times New Roman"/>
                <w:color w:val="1F3864" w:themeColor="accent1" w:themeShade="80"/>
                <w:sz w:val="20"/>
                <w:szCs w:val="20"/>
                <w:shd w:val="clear" w:color="auto" w:fill="FFFFFF"/>
                <w:vertAlign w:val="superscript"/>
              </w:rPr>
              <w:t>th</w:t>
            </w:r>
            <w:r w:rsidR="004B7F9D" w:rsidRPr="004B7F9D">
              <w:rPr>
                <w:rFonts w:ascii="Times New Roman" w:hAnsi="Times New Roman" w:cs="Times New Roman"/>
                <w:color w:val="1F3864" w:themeColor="accent1" w:themeShade="80"/>
                <w:sz w:val="20"/>
                <w:szCs w:val="20"/>
                <w:shd w:val="clear" w:color="auto" w:fill="FFFFFF"/>
              </w:rPr>
              <w:t xml:space="preserve"> February 2019.  The purpose of the meeting is to express concern of the parties to the growing unsustainability of the sector and to seek to have all the recommendations of the Director General’s Reference Group implemented with urgency.</w:t>
            </w:r>
          </w:p>
          <w:p w14:paraId="1B7FD970" w14:textId="6CC956A1" w:rsidR="00331525" w:rsidRPr="004B7F9D" w:rsidRDefault="00331525" w:rsidP="004B7F9D">
            <w:pPr>
              <w:pStyle w:val="NormalWeb"/>
              <w:rPr>
                <w:rFonts w:ascii="Times New Roman" w:hAnsi="Times New Roman" w:cs="Times New Roman"/>
                <w:color w:val="1F3864" w:themeColor="accent1" w:themeShade="80"/>
                <w:sz w:val="20"/>
                <w:szCs w:val="20"/>
                <w:shd w:val="clear" w:color="auto" w:fill="FFFFFF"/>
              </w:rPr>
            </w:pPr>
            <w:r w:rsidRPr="004B7F9D">
              <w:rPr>
                <w:rFonts w:ascii="Times New Roman" w:hAnsi="Times New Roman" w:cs="Times New Roman"/>
                <w:color w:val="1F3864" w:themeColor="accent1" w:themeShade="80"/>
                <w:sz w:val="20"/>
                <w:szCs w:val="20"/>
                <w:shd w:val="clear" w:color="auto" w:fill="FFFFFF"/>
              </w:rPr>
              <w:t xml:space="preserve">  </w:t>
            </w:r>
          </w:p>
        </w:tc>
      </w:tr>
      <w:tr w:rsidR="005C4D0C" w14:paraId="375316EF"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6FE5BCA5" w14:textId="4CA656EB" w:rsidR="001F3785" w:rsidRDefault="001F3785">
            <w:pPr>
              <w:pStyle w:val="TableofContentsEntry"/>
              <w:spacing w:line="276" w:lineRule="auto"/>
              <w:rPr>
                <w:rStyle w:val="Hyperlink"/>
                <w:rFonts w:ascii="Calibri" w:hAnsi="Calibri"/>
                <w:color w:val="FFFFFF"/>
                <w:sz w:val="32"/>
                <w:szCs w:val="32"/>
              </w:rPr>
            </w:pPr>
            <w:proofErr w:type="gramStart"/>
            <w:r>
              <w:rPr>
                <w:rStyle w:val="Hyperlink"/>
                <w:rFonts w:ascii="Symbol" w:hAnsi="Symbol"/>
                <w:color w:val="FFFFFF"/>
                <w:sz w:val="32"/>
                <w:szCs w:val="32"/>
              </w:rPr>
              <w:t></w:t>
            </w:r>
            <w:r>
              <w:rPr>
                <w:rStyle w:val="Hyperlink"/>
                <w:rFonts w:ascii="Times New Roman" w:hAnsi="Times New Roman" w:cs="Times New Roman"/>
                <w:color w:val="FFFFFF"/>
                <w:sz w:val="14"/>
                <w:szCs w:val="14"/>
              </w:rPr>
              <w:t xml:space="preserve">  </w:t>
            </w:r>
            <w:r w:rsidR="00B82103" w:rsidRPr="00B82103">
              <w:rPr>
                <w:rStyle w:val="Hyperlink"/>
                <w:rFonts w:asciiTheme="minorHAnsi" w:hAnsiTheme="minorHAnsi" w:cstheme="minorHAnsi"/>
                <w:color w:val="FFFFFF"/>
                <w:sz w:val="32"/>
                <w:szCs w:val="32"/>
              </w:rPr>
              <w:t>Pay</w:t>
            </w:r>
            <w:proofErr w:type="gramEnd"/>
            <w:r w:rsidR="00B82103" w:rsidRPr="00B82103">
              <w:rPr>
                <w:rStyle w:val="Hyperlink"/>
                <w:rFonts w:asciiTheme="minorHAnsi" w:hAnsiTheme="minorHAnsi" w:cstheme="minorHAnsi"/>
                <w:color w:val="FFFFFF"/>
                <w:sz w:val="32"/>
                <w:szCs w:val="32"/>
              </w:rPr>
              <w:t xml:space="preserve"> Equity -</w:t>
            </w:r>
            <w:r w:rsidR="00B82103">
              <w:rPr>
                <w:rStyle w:val="Hyperlink"/>
                <w:rFonts w:ascii="Times New Roman" w:hAnsi="Times New Roman" w:cs="Times New Roman"/>
                <w:color w:val="FFFFFF"/>
                <w:sz w:val="14"/>
                <w:szCs w:val="14"/>
              </w:rPr>
              <w:t xml:space="preserve"> </w:t>
            </w:r>
            <w:r w:rsidRPr="001F3785">
              <w:rPr>
                <w:rStyle w:val="Hyperlink"/>
                <w:rFonts w:ascii="Calibri" w:hAnsi="Calibri"/>
                <w:color w:val="FFFFFF"/>
                <w:sz w:val="32"/>
                <w:szCs w:val="32"/>
              </w:rPr>
              <w:t>Transitional Support Funding</w:t>
            </w:r>
          </w:p>
          <w:p w14:paraId="5B830C5D" w14:textId="77777777" w:rsidR="001F3785" w:rsidRDefault="001F3785"/>
        </w:tc>
        <w:tc>
          <w:tcPr>
            <w:tcW w:w="6504" w:type="dxa"/>
            <w:tcBorders>
              <w:top w:val="nil"/>
              <w:left w:val="nil"/>
              <w:bottom w:val="single" w:sz="8" w:space="0" w:color="auto"/>
              <w:right w:val="nil"/>
            </w:tcBorders>
            <w:tcMar>
              <w:top w:w="0" w:type="dxa"/>
              <w:left w:w="108" w:type="dxa"/>
              <w:bottom w:w="0" w:type="dxa"/>
              <w:right w:w="108" w:type="dxa"/>
            </w:tcMar>
            <w:hideMark/>
          </w:tcPr>
          <w:p w14:paraId="4D7E2087" w14:textId="451702D6" w:rsidR="001F3785" w:rsidRDefault="001F3785">
            <w:pPr>
              <w:pStyle w:val="NormalWeb"/>
              <w:spacing w:before="0" w:beforeAutospacing="0" w:after="0" w:afterAutospacing="0" w:line="276" w:lineRule="auto"/>
              <w:rPr>
                <w:rFonts w:ascii="Corbel" w:hAnsi="Corbel" w:cs="Times New Roman"/>
                <w:color w:val="1F497D"/>
                <w:sz w:val="36"/>
                <w:szCs w:val="36"/>
              </w:rPr>
            </w:pPr>
            <w:r>
              <w:rPr>
                <w:rFonts w:ascii="Corbel" w:hAnsi="Corbel" w:cs="Times New Roman"/>
                <w:color w:val="1F497D"/>
                <w:sz w:val="36"/>
                <w:szCs w:val="36"/>
              </w:rPr>
              <w:t>Pay Equity “One Off” Transitional Support Funding</w:t>
            </w:r>
          </w:p>
          <w:p w14:paraId="54087336" w14:textId="6F3611A4" w:rsidR="001F3785" w:rsidRDefault="001F3785">
            <w:pPr>
              <w:spacing w:line="276" w:lineRule="auto"/>
              <w:rPr>
                <w:rFonts w:ascii="Times New Roman" w:hAnsi="Times New Roman" w:cs="Times New Roman"/>
                <w:color w:val="1F3864" w:themeColor="accent1" w:themeShade="80"/>
                <w:sz w:val="20"/>
                <w:szCs w:val="20"/>
              </w:rPr>
            </w:pPr>
            <w:r w:rsidRPr="001F3785">
              <w:rPr>
                <w:rFonts w:ascii="Times New Roman" w:hAnsi="Times New Roman" w:cs="Times New Roman"/>
                <w:color w:val="1F3864" w:themeColor="accent1" w:themeShade="80"/>
                <w:sz w:val="20"/>
                <w:szCs w:val="20"/>
              </w:rPr>
              <w:t xml:space="preserve">Providers can expect to receive information from </w:t>
            </w:r>
            <w:proofErr w:type="spellStart"/>
            <w:r w:rsidRPr="001F3785">
              <w:rPr>
                <w:rFonts w:ascii="Times New Roman" w:hAnsi="Times New Roman" w:cs="Times New Roman"/>
                <w:color w:val="1F3864" w:themeColor="accent1" w:themeShade="80"/>
                <w:sz w:val="20"/>
                <w:szCs w:val="20"/>
              </w:rPr>
              <w:t>MoH</w:t>
            </w:r>
            <w:proofErr w:type="spellEnd"/>
            <w:r w:rsidRPr="001F3785">
              <w:rPr>
                <w:rFonts w:ascii="Times New Roman" w:hAnsi="Times New Roman" w:cs="Times New Roman"/>
                <w:color w:val="1F3864" w:themeColor="accent1" w:themeShade="80"/>
                <w:sz w:val="20"/>
                <w:szCs w:val="20"/>
              </w:rPr>
              <w:t xml:space="preserve"> on 1 March 2019 an application form to offer an opportunity to apply for the transitional support funding.  If you believe that your pay equity payments made through the funding incorporated into contracts for financial year 2018-19 does not reflect the actual pay equity costs, you may be eligible for the one-off transitional support funding</w:t>
            </w:r>
            <w:r>
              <w:rPr>
                <w:rFonts w:ascii="Times New Roman" w:hAnsi="Times New Roman" w:cs="Times New Roman"/>
                <w:color w:val="1F3864" w:themeColor="accent1" w:themeShade="80"/>
                <w:sz w:val="20"/>
                <w:szCs w:val="20"/>
              </w:rPr>
              <w:t>.</w:t>
            </w:r>
          </w:p>
          <w:p w14:paraId="084FA36A" w14:textId="77777777" w:rsidR="00E9015C" w:rsidRDefault="00E9015C">
            <w:pPr>
              <w:spacing w:line="276" w:lineRule="auto"/>
              <w:rPr>
                <w:rFonts w:ascii="Times New Roman" w:hAnsi="Times New Roman" w:cs="Times New Roman"/>
                <w:color w:val="1F3864" w:themeColor="accent1" w:themeShade="80"/>
                <w:sz w:val="20"/>
                <w:szCs w:val="20"/>
              </w:rPr>
            </w:pPr>
          </w:p>
          <w:p w14:paraId="7AB2C596" w14:textId="75979A54" w:rsidR="00BF5B33" w:rsidRPr="001F3785" w:rsidRDefault="00BF5B33">
            <w:pPr>
              <w:spacing w:line="276" w:lineRule="auto"/>
              <w:rPr>
                <w:rFonts w:ascii="Times New Roman" w:hAnsi="Times New Roman" w:cs="Times New Roman"/>
                <w:sz w:val="20"/>
                <w:szCs w:val="20"/>
              </w:rPr>
            </w:pPr>
          </w:p>
        </w:tc>
      </w:tr>
      <w:tr w:rsidR="005C4D0C" w14:paraId="24A2EE62"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hideMark/>
          </w:tcPr>
          <w:p w14:paraId="09A3AA04" w14:textId="629455D5" w:rsidR="001F3785" w:rsidRDefault="001F3785" w:rsidP="008D71C8">
            <w:pPr>
              <w:pStyle w:val="TableofContentsEntry"/>
              <w:numPr>
                <w:ilvl w:val="0"/>
                <w:numId w:val="1"/>
              </w:numPr>
              <w:spacing w:line="276" w:lineRule="auto"/>
              <w:rPr>
                <w:rStyle w:val="Hyperlink"/>
                <w:rFonts w:ascii="Calibri" w:hAnsi="Calibri"/>
                <w:color w:val="FFFFFF"/>
                <w:sz w:val="32"/>
                <w:szCs w:val="32"/>
              </w:rPr>
            </w:pPr>
            <w:r>
              <w:rPr>
                <w:rStyle w:val="Hyperlink"/>
                <w:rFonts w:ascii="Calibri" w:hAnsi="Calibri"/>
                <w:color w:val="FFFFFF"/>
                <w:sz w:val="32"/>
                <w:szCs w:val="32"/>
              </w:rPr>
              <w:t xml:space="preserve">Pay </w:t>
            </w:r>
            <w:r w:rsidR="00CA75F8">
              <w:rPr>
                <w:rStyle w:val="Hyperlink"/>
                <w:rFonts w:ascii="Calibri" w:hAnsi="Calibri"/>
                <w:color w:val="FFFFFF"/>
                <w:sz w:val="32"/>
                <w:szCs w:val="32"/>
              </w:rPr>
              <w:t>E</w:t>
            </w:r>
            <w:r>
              <w:rPr>
                <w:rStyle w:val="Hyperlink"/>
                <w:rFonts w:ascii="Calibri" w:hAnsi="Calibri"/>
                <w:color w:val="FFFFFF"/>
                <w:sz w:val="32"/>
                <w:szCs w:val="32"/>
              </w:rPr>
              <w:t xml:space="preserve">quity – </w:t>
            </w:r>
            <w:r w:rsidR="00CA75F8">
              <w:rPr>
                <w:rStyle w:val="Hyperlink"/>
                <w:rFonts w:ascii="Calibri" w:hAnsi="Calibri"/>
                <w:color w:val="FFFFFF"/>
                <w:sz w:val="32"/>
                <w:szCs w:val="32"/>
              </w:rPr>
              <w:t>Data Collection Tool</w:t>
            </w:r>
          </w:p>
        </w:tc>
        <w:tc>
          <w:tcPr>
            <w:tcW w:w="6504" w:type="dxa"/>
            <w:tcBorders>
              <w:top w:val="nil"/>
              <w:left w:val="nil"/>
              <w:bottom w:val="single" w:sz="8" w:space="0" w:color="auto"/>
              <w:right w:val="nil"/>
            </w:tcBorders>
            <w:tcMar>
              <w:top w:w="0" w:type="dxa"/>
              <w:left w:w="108" w:type="dxa"/>
              <w:bottom w:w="0" w:type="dxa"/>
              <w:right w:w="108" w:type="dxa"/>
            </w:tcMar>
            <w:hideMark/>
          </w:tcPr>
          <w:p w14:paraId="0A8754D3" w14:textId="2D8871B0" w:rsidR="00CA75F8" w:rsidRDefault="001F3785">
            <w:pPr>
              <w:pStyle w:val="NormalWeb"/>
              <w:spacing w:before="0" w:beforeAutospacing="0" w:after="0" w:afterAutospacing="0"/>
              <w:rPr>
                <w:rFonts w:ascii="Times New Roman" w:hAnsi="Times New Roman" w:cs="Times New Roman"/>
                <w:color w:val="1F497D"/>
                <w:sz w:val="20"/>
                <w:szCs w:val="20"/>
              </w:rPr>
            </w:pPr>
            <w:r>
              <w:rPr>
                <w:rFonts w:ascii="Corbel" w:hAnsi="Corbel" w:cs="Times New Roman"/>
                <w:color w:val="1F497D"/>
                <w:sz w:val="36"/>
                <w:szCs w:val="36"/>
              </w:rPr>
              <w:t xml:space="preserve">Pay Equity </w:t>
            </w:r>
            <w:r w:rsidR="00CA75F8">
              <w:rPr>
                <w:rFonts w:ascii="Corbel" w:hAnsi="Corbel" w:cs="Times New Roman"/>
                <w:color w:val="1F497D"/>
                <w:sz w:val="36"/>
                <w:szCs w:val="36"/>
              </w:rPr>
              <w:t>Data Collection Tool</w:t>
            </w:r>
            <w:r>
              <w:rPr>
                <w:rFonts w:ascii="Corbel" w:hAnsi="Corbel" w:cs="Times New Roman"/>
                <w:color w:val="1F497D"/>
                <w:sz w:val="36"/>
                <w:szCs w:val="36"/>
              </w:rPr>
              <w:br/>
            </w:r>
            <w:r>
              <w:rPr>
                <w:rFonts w:ascii="Times New Roman" w:hAnsi="Times New Roman" w:cs="Times New Roman"/>
                <w:color w:val="1F497D"/>
                <w:sz w:val="20"/>
                <w:szCs w:val="20"/>
              </w:rPr>
              <w:t xml:space="preserve">Providers </w:t>
            </w:r>
            <w:r w:rsidR="00CA75F8">
              <w:rPr>
                <w:rFonts w:ascii="Times New Roman" w:hAnsi="Times New Roman" w:cs="Times New Roman"/>
                <w:color w:val="1F497D"/>
                <w:sz w:val="20"/>
                <w:szCs w:val="20"/>
              </w:rPr>
              <w:t xml:space="preserve">will have received, from </w:t>
            </w:r>
            <w:proofErr w:type="spellStart"/>
            <w:r w:rsidR="00CA75F8">
              <w:rPr>
                <w:rFonts w:ascii="Times New Roman" w:hAnsi="Times New Roman" w:cs="Times New Roman"/>
                <w:color w:val="1F497D"/>
                <w:sz w:val="20"/>
                <w:szCs w:val="20"/>
              </w:rPr>
              <w:t>MoH</w:t>
            </w:r>
            <w:proofErr w:type="spellEnd"/>
            <w:r w:rsidR="00CA75F8">
              <w:rPr>
                <w:rFonts w:ascii="Times New Roman" w:hAnsi="Times New Roman" w:cs="Times New Roman"/>
                <w:color w:val="1F497D"/>
                <w:sz w:val="20"/>
                <w:szCs w:val="20"/>
              </w:rPr>
              <w:t>, on 7 February 2019 a “pay equity data collection tool”.  Further clarification on completing this tool was forwarded by email on 14</w:t>
            </w:r>
            <w:r w:rsidR="00CA75F8" w:rsidRPr="00CA75F8">
              <w:rPr>
                <w:rFonts w:ascii="Times New Roman" w:hAnsi="Times New Roman" w:cs="Times New Roman"/>
                <w:color w:val="1F497D"/>
                <w:sz w:val="20"/>
                <w:szCs w:val="20"/>
                <w:vertAlign w:val="superscript"/>
              </w:rPr>
              <w:t>th</w:t>
            </w:r>
            <w:r w:rsidR="00CA75F8">
              <w:rPr>
                <w:rFonts w:ascii="Times New Roman" w:hAnsi="Times New Roman" w:cs="Times New Roman"/>
                <w:color w:val="1F497D"/>
                <w:sz w:val="20"/>
                <w:szCs w:val="20"/>
              </w:rPr>
              <w:t xml:space="preserve"> February 2019.</w:t>
            </w:r>
          </w:p>
          <w:p w14:paraId="6540DCD1" w14:textId="77777777" w:rsidR="00CA75F8" w:rsidRDefault="00CA75F8">
            <w:pPr>
              <w:pStyle w:val="NormalWeb"/>
              <w:spacing w:before="0" w:beforeAutospacing="0" w:after="0" w:afterAutospacing="0"/>
              <w:rPr>
                <w:rFonts w:ascii="Times New Roman" w:hAnsi="Times New Roman" w:cs="Times New Roman"/>
                <w:color w:val="1F497D"/>
                <w:sz w:val="20"/>
                <w:szCs w:val="20"/>
              </w:rPr>
            </w:pPr>
          </w:p>
          <w:p w14:paraId="15CF06BA" w14:textId="723CBD19" w:rsidR="001F3785" w:rsidRDefault="00CA75F8">
            <w:pPr>
              <w:pStyle w:val="NormalWeb"/>
              <w:spacing w:before="0" w:beforeAutospacing="0" w:after="0" w:afterAutospacing="0"/>
              <w:rPr>
                <w:rFonts w:ascii="Times New Roman" w:hAnsi="Times New Roman" w:cs="Times New Roman"/>
                <w:bCs/>
                <w:color w:val="1F3864" w:themeColor="accent1" w:themeShade="80"/>
                <w:sz w:val="20"/>
                <w:szCs w:val="20"/>
              </w:rPr>
            </w:pPr>
            <w:r w:rsidRPr="00CA75F8">
              <w:rPr>
                <w:rFonts w:ascii="Times New Roman" w:hAnsi="Times New Roman" w:cs="Times New Roman"/>
                <w:color w:val="1F3864" w:themeColor="accent1" w:themeShade="80"/>
                <w:sz w:val="20"/>
                <w:szCs w:val="20"/>
              </w:rPr>
              <w:t>Providers are reminded that y</w:t>
            </w:r>
            <w:r w:rsidRPr="00CA75F8">
              <w:rPr>
                <w:rFonts w:ascii="Times New Roman" w:hAnsi="Times New Roman" w:cs="Times New Roman"/>
                <w:bCs/>
                <w:color w:val="1F3864" w:themeColor="accent1" w:themeShade="80"/>
                <w:sz w:val="20"/>
                <w:szCs w:val="20"/>
              </w:rPr>
              <w:t>our full year wash-up data collection tool is due by 5pm on Wednesday 27 February.</w:t>
            </w:r>
          </w:p>
          <w:p w14:paraId="1F2F4CA3" w14:textId="77777777" w:rsidR="00E9015C" w:rsidRDefault="00E9015C">
            <w:pPr>
              <w:pStyle w:val="NormalWeb"/>
              <w:spacing w:before="0" w:beforeAutospacing="0" w:after="0" w:afterAutospacing="0"/>
              <w:rPr>
                <w:rFonts w:ascii="Times New Roman" w:hAnsi="Times New Roman" w:cs="Times New Roman"/>
                <w:bCs/>
                <w:color w:val="1F3864" w:themeColor="accent1" w:themeShade="80"/>
                <w:sz w:val="20"/>
                <w:szCs w:val="20"/>
              </w:rPr>
            </w:pPr>
          </w:p>
          <w:p w14:paraId="66BE111A" w14:textId="6338D1A1" w:rsidR="00BF5B33" w:rsidRPr="00CA75F8" w:rsidRDefault="00BF5B33">
            <w:pPr>
              <w:pStyle w:val="NormalWeb"/>
              <w:spacing w:before="0" w:beforeAutospacing="0" w:after="0" w:afterAutospacing="0"/>
              <w:rPr>
                <w:rFonts w:ascii="Times New Roman" w:hAnsi="Times New Roman" w:cs="Times New Roman"/>
                <w:color w:val="1F497D"/>
                <w:sz w:val="36"/>
                <w:szCs w:val="36"/>
              </w:rPr>
            </w:pPr>
          </w:p>
        </w:tc>
      </w:tr>
      <w:tr w:rsidR="00030B2F" w14:paraId="01682F29"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63954887" w14:textId="65B8551F" w:rsidR="00030B2F" w:rsidRDefault="00030B2F" w:rsidP="00030B2F">
            <w:pPr>
              <w:pStyle w:val="TableofContentsEntry"/>
              <w:numPr>
                <w:ilvl w:val="0"/>
                <w:numId w:val="1"/>
              </w:numPr>
              <w:spacing w:line="276" w:lineRule="auto"/>
              <w:rPr>
                <w:rStyle w:val="Hyperlink"/>
                <w:rFonts w:ascii="Calibri" w:hAnsi="Calibri"/>
                <w:color w:val="FFFFFF"/>
                <w:sz w:val="32"/>
                <w:szCs w:val="32"/>
              </w:rPr>
            </w:pPr>
            <w:r w:rsidRPr="004F5D35">
              <w:rPr>
                <w:rStyle w:val="Hyperlink"/>
                <w:rFonts w:asciiTheme="minorHAnsi" w:hAnsiTheme="minorHAnsi" w:cstheme="minorHAnsi"/>
                <w:color w:val="FFFFFF"/>
                <w:sz w:val="32"/>
                <w:szCs w:val="32"/>
              </w:rPr>
              <w:t>Research Project – Culturally Appropriate Responses to Traumatic Brain Injuries</w:t>
            </w:r>
            <w:r w:rsidRPr="00326D62">
              <w:rPr>
                <w:rFonts w:ascii="Times New Roman" w:eastAsia="Times New Roman" w:hAnsi="Times New Roman" w:cs="Times New Roman"/>
                <w:color w:val="000000"/>
              </w:rPr>
              <w:t> </w:t>
            </w:r>
          </w:p>
        </w:tc>
        <w:tc>
          <w:tcPr>
            <w:tcW w:w="6504" w:type="dxa"/>
            <w:tcBorders>
              <w:top w:val="nil"/>
              <w:left w:val="nil"/>
              <w:bottom w:val="single" w:sz="8" w:space="0" w:color="auto"/>
              <w:right w:val="nil"/>
            </w:tcBorders>
            <w:tcMar>
              <w:top w:w="0" w:type="dxa"/>
              <w:left w:w="108" w:type="dxa"/>
              <w:bottom w:w="0" w:type="dxa"/>
              <w:right w:w="108" w:type="dxa"/>
            </w:tcMar>
          </w:tcPr>
          <w:p w14:paraId="5AB3F513" w14:textId="77777777" w:rsidR="00030B2F" w:rsidRPr="004F5D35" w:rsidRDefault="00030B2F" w:rsidP="00030B2F">
            <w:pPr>
              <w:rPr>
                <w:rFonts w:ascii="Corbel" w:eastAsia="Times New Roman" w:hAnsi="Corbel" w:cs="Times New Roman"/>
                <w:color w:val="1F3864" w:themeColor="accent1" w:themeShade="80"/>
                <w:sz w:val="36"/>
                <w:szCs w:val="36"/>
              </w:rPr>
            </w:pPr>
            <w:r w:rsidRPr="004F5D35">
              <w:rPr>
                <w:rStyle w:val="Hyperlink"/>
                <w:rFonts w:ascii="Corbel" w:hAnsi="Corbel" w:cs="Times New Roman"/>
                <w:color w:val="1F3864" w:themeColor="accent1" w:themeShade="80"/>
                <w:sz w:val="36"/>
                <w:szCs w:val="36"/>
              </w:rPr>
              <w:t>Research</w:t>
            </w:r>
            <w:r w:rsidRPr="004F5D35">
              <w:rPr>
                <w:rStyle w:val="Hyperlink"/>
                <w:rFonts w:ascii="Corbel" w:hAnsi="Corbel"/>
                <w:color w:val="1F3864" w:themeColor="accent1" w:themeShade="80"/>
                <w:sz w:val="36"/>
                <w:szCs w:val="36"/>
              </w:rPr>
              <w:t xml:space="preserve"> Project</w:t>
            </w:r>
          </w:p>
          <w:p w14:paraId="44CDCFFD" w14:textId="77777777" w:rsidR="00030B2F" w:rsidRPr="00030B2F" w:rsidRDefault="00030B2F" w:rsidP="00030B2F">
            <w:pPr>
              <w:rPr>
                <w:rFonts w:ascii="Times New Roman" w:eastAsia="Times New Roman" w:hAnsi="Times New Roman" w:cs="Times New Roman"/>
                <w:color w:val="1F3864" w:themeColor="accent1" w:themeShade="80"/>
                <w:sz w:val="20"/>
                <w:szCs w:val="20"/>
              </w:rPr>
            </w:pPr>
            <w:r w:rsidRPr="00030B2F">
              <w:rPr>
                <w:rFonts w:ascii="Times New Roman" w:eastAsia="Times New Roman" w:hAnsi="Times New Roman" w:cs="Times New Roman"/>
                <w:color w:val="1F3864" w:themeColor="accent1" w:themeShade="80"/>
                <w:sz w:val="20"/>
                <w:szCs w:val="20"/>
              </w:rPr>
              <w:t>Hui E! is supporting the </w:t>
            </w:r>
            <w:proofErr w:type="spellStart"/>
            <w:r w:rsidRPr="00030B2F">
              <w:rPr>
                <w:rFonts w:ascii="Times New Roman" w:eastAsia="Times New Roman" w:hAnsi="Times New Roman" w:cs="Times New Roman"/>
                <w:color w:val="1F3864" w:themeColor="accent1" w:themeShade="80"/>
                <w:sz w:val="20"/>
                <w:szCs w:val="20"/>
              </w:rPr>
              <w:t>Ngāmuka</w:t>
            </w:r>
            <w:proofErr w:type="spellEnd"/>
            <w:r w:rsidRPr="00030B2F">
              <w:rPr>
                <w:rFonts w:ascii="Times New Roman" w:eastAsia="Times New Roman" w:hAnsi="Times New Roman" w:cs="Times New Roman"/>
                <w:color w:val="1F3864" w:themeColor="accent1" w:themeShade="80"/>
                <w:sz w:val="20"/>
                <w:szCs w:val="20"/>
              </w:rPr>
              <w:t xml:space="preserve"> </w:t>
            </w:r>
            <w:proofErr w:type="spellStart"/>
            <w:r w:rsidRPr="00030B2F">
              <w:rPr>
                <w:rFonts w:ascii="Times New Roman" w:eastAsia="Times New Roman" w:hAnsi="Times New Roman" w:cs="Times New Roman"/>
                <w:color w:val="1F3864" w:themeColor="accent1" w:themeShade="80"/>
                <w:sz w:val="20"/>
                <w:szCs w:val="20"/>
              </w:rPr>
              <w:t>Puna</w:t>
            </w:r>
            <w:proofErr w:type="spellEnd"/>
            <w:r w:rsidRPr="00030B2F">
              <w:rPr>
                <w:rFonts w:ascii="Times New Roman" w:eastAsia="Times New Roman" w:hAnsi="Times New Roman" w:cs="Times New Roman"/>
                <w:color w:val="1F3864" w:themeColor="accent1" w:themeShade="80"/>
                <w:sz w:val="20"/>
                <w:szCs w:val="20"/>
              </w:rPr>
              <w:t xml:space="preserve"> Trust in a research project on culturally appropriate responses to traumatic brain injuries.  </w:t>
            </w:r>
          </w:p>
          <w:p w14:paraId="26B100F1" w14:textId="5D2466F2" w:rsidR="00030B2F" w:rsidRPr="00030B2F" w:rsidRDefault="00030B2F" w:rsidP="00030B2F">
            <w:pPr>
              <w:pStyle w:val="NormalWeb"/>
              <w:rPr>
                <w:rFonts w:ascii="Times New Roman" w:hAnsi="Times New Roman" w:cs="Times New Roman"/>
                <w:color w:val="1F3864" w:themeColor="accent1" w:themeShade="80"/>
                <w:sz w:val="20"/>
                <w:szCs w:val="20"/>
              </w:rPr>
            </w:pPr>
            <w:r w:rsidRPr="00030B2F">
              <w:rPr>
                <w:rFonts w:ascii="Times New Roman" w:hAnsi="Times New Roman" w:cs="Times New Roman"/>
                <w:color w:val="1F3864" w:themeColor="accent1" w:themeShade="80"/>
                <w:sz w:val="20"/>
                <w:szCs w:val="20"/>
              </w:rPr>
              <w:t>They would appreciate any input from you or anyone you know who has suffered from, or has been affected by</w:t>
            </w:r>
            <w:r>
              <w:rPr>
                <w:rFonts w:ascii="Times New Roman" w:hAnsi="Times New Roman" w:cs="Times New Roman"/>
                <w:color w:val="1F3864" w:themeColor="accent1" w:themeShade="80"/>
                <w:sz w:val="20"/>
                <w:szCs w:val="20"/>
              </w:rPr>
              <w:t>,</w:t>
            </w:r>
            <w:r w:rsidRPr="00030B2F">
              <w:rPr>
                <w:rFonts w:ascii="Times New Roman" w:hAnsi="Times New Roman" w:cs="Times New Roman"/>
                <w:color w:val="1F3864" w:themeColor="accent1" w:themeShade="80"/>
                <w:sz w:val="20"/>
                <w:szCs w:val="20"/>
              </w:rPr>
              <w:t xml:space="preserve"> a serious injury and would like to see a more culturally appropriate approach. You can provide your input by filling in the below survey and any support letters are appreciated as well for funding purposes. </w:t>
            </w:r>
          </w:p>
          <w:p w14:paraId="6F7DE3D5" w14:textId="505B081C" w:rsidR="00030B2F" w:rsidRPr="00030B2F" w:rsidRDefault="00030B2F" w:rsidP="00030B2F">
            <w:pPr>
              <w:pStyle w:val="NormalWeb"/>
              <w:rPr>
                <w:rFonts w:ascii="Times New Roman" w:hAnsi="Times New Roman" w:cs="Times New Roman"/>
                <w:color w:val="1F3864" w:themeColor="accent1" w:themeShade="80"/>
                <w:sz w:val="20"/>
                <w:szCs w:val="20"/>
              </w:rPr>
            </w:pPr>
            <w:r w:rsidRPr="00030B2F">
              <w:rPr>
                <w:rFonts w:ascii="Times New Roman" w:hAnsi="Times New Roman" w:cs="Times New Roman"/>
                <w:color w:val="1F3864" w:themeColor="accent1" w:themeShade="80"/>
                <w:sz w:val="20"/>
                <w:szCs w:val="20"/>
              </w:rPr>
              <w:t xml:space="preserve">Click here to </w:t>
            </w:r>
            <w:hyperlink r:id="rId11" w:tooltip="https://docs.google.com/forms/d/e/1FAIpQLSelzDaey1SftB93epaiheW9YPKbuFN0UkeYHjHbn8-FeiKgCg/viewform?fbclid=IwAR1fL3UTqRGZ7MQxhQ_ZOGMaC1VReBVYeVaTSjS_ClP8PQyqMrEmgL6dl-k" w:history="1">
              <w:r w:rsidRPr="00030B2F">
                <w:rPr>
                  <w:rStyle w:val="Hyperlink"/>
                  <w:rFonts w:ascii="Times New Roman" w:hAnsi="Times New Roman" w:cs="Times New Roman"/>
                  <w:color w:val="C00000"/>
                  <w:sz w:val="20"/>
                  <w:szCs w:val="20"/>
                  <w:u w:val="single"/>
                </w:rPr>
                <w:t>link to the survey</w:t>
              </w:r>
            </w:hyperlink>
            <w:r w:rsidRPr="00030B2F">
              <w:rPr>
                <w:rFonts w:ascii="Times New Roman" w:hAnsi="Times New Roman" w:cs="Times New Roman"/>
                <w:color w:val="1F3864" w:themeColor="accent1" w:themeShade="80"/>
                <w:sz w:val="20"/>
                <w:szCs w:val="20"/>
              </w:rPr>
              <w:t>, which includes more background on the project, its intentions and those involved, as well as a small number of questions. </w:t>
            </w:r>
          </w:p>
          <w:p w14:paraId="4B9A4AC1" w14:textId="403C1CA9" w:rsidR="00030B2F" w:rsidRPr="00030B2F" w:rsidRDefault="00030B2F" w:rsidP="00030B2F">
            <w:pPr>
              <w:pStyle w:val="NormalWeb"/>
              <w:spacing w:after="0" w:afterAutospacing="0"/>
              <w:rPr>
                <w:rFonts w:ascii="Times New Roman" w:hAnsi="Times New Roman" w:cs="Times New Roman"/>
                <w:color w:val="1F3864" w:themeColor="accent1" w:themeShade="80"/>
                <w:sz w:val="20"/>
                <w:szCs w:val="20"/>
                <w:shd w:val="clear" w:color="auto" w:fill="FFFFFF"/>
              </w:rPr>
            </w:pPr>
            <w:r w:rsidRPr="00030B2F">
              <w:rPr>
                <w:rFonts w:ascii="Times New Roman" w:hAnsi="Times New Roman" w:cs="Times New Roman"/>
                <w:color w:val="1F3864" w:themeColor="accent1" w:themeShade="80"/>
                <w:sz w:val="20"/>
                <w:szCs w:val="20"/>
                <w:shd w:val="clear" w:color="auto" w:fill="FFFFFF"/>
              </w:rPr>
              <w:lastRenderedPageBreak/>
              <w:t>Your response by 03 March 2019 is appreciated. Please send any comments directly to </w:t>
            </w:r>
            <w:hyperlink r:id="rId12" w:history="1">
              <w:r w:rsidRPr="00030B2F">
                <w:rPr>
                  <w:rStyle w:val="Hyperlink"/>
                  <w:rFonts w:ascii="Times New Roman" w:hAnsi="Times New Roman" w:cs="Times New Roman"/>
                  <w:color w:val="1F3864" w:themeColor="accent1" w:themeShade="80"/>
                  <w:sz w:val="20"/>
                  <w:szCs w:val="20"/>
                  <w:shd w:val="clear" w:color="auto" w:fill="FFFFFF"/>
                </w:rPr>
                <w:t>ngamukapuna@outlook.com</w:t>
              </w:r>
            </w:hyperlink>
            <w:r w:rsidRPr="00030B2F">
              <w:rPr>
                <w:rFonts w:ascii="Times New Roman" w:hAnsi="Times New Roman" w:cs="Times New Roman"/>
                <w:color w:val="1F3864" w:themeColor="accent1" w:themeShade="80"/>
                <w:sz w:val="20"/>
                <w:szCs w:val="20"/>
                <w:shd w:val="clear" w:color="auto" w:fill="FFFFFF"/>
              </w:rPr>
              <w:t>. </w:t>
            </w:r>
          </w:p>
          <w:p w14:paraId="710C56BB" w14:textId="77777777" w:rsidR="00030B2F" w:rsidRPr="00E9015C" w:rsidRDefault="00030B2F" w:rsidP="00030B2F">
            <w:pPr>
              <w:rPr>
                <w:rStyle w:val="Hyperlink"/>
                <w:rFonts w:ascii="Corbel" w:hAnsi="Corbel"/>
                <w:color w:val="1F3864" w:themeColor="accent1" w:themeShade="80"/>
                <w:sz w:val="36"/>
                <w:szCs w:val="36"/>
              </w:rPr>
            </w:pPr>
          </w:p>
        </w:tc>
      </w:tr>
      <w:tr w:rsidR="00030B2F" w14:paraId="7B83A1F7"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hideMark/>
          </w:tcPr>
          <w:p w14:paraId="199FFA93" w14:textId="1A37CE09" w:rsidR="00030B2F" w:rsidRDefault="00030B2F" w:rsidP="00030B2F">
            <w:pPr>
              <w:pStyle w:val="TableofContentsEntry"/>
              <w:numPr>
                <w:ilvl w:val="0"/>
                <w:numId w:val="1"/>
              </w:numPr>
              <w:spacing w:line="276" w:lineRule="auto"/>
              <w:rPr>
                <w:rStyle w:val="Hyperlink"/>
                <w:rFonts w:ascii="Calibri" w:hAnsi="Calibri"/>
                <w:color w:val="FFFFFF"/>
                <w:sz w:val="32"/>
                <w:szCs w:val="32"/>
              </w:rPr>
            </w:pPr>
            <w:r>
              <w:rPr>
                <w:rStyle w:val="Hyperlink"/>
                <w:rFonts w:ascii="Calibri" w:hAnsi="Calibri"/>
                <w:color w:val="FFFFFF"/>
                <w:sz w:val="32"/>
                <w:szCs w:val="32"/>
              </w:rPr>
              <w:lastRenderedPageBreak/>
              <w:t>MSD/</w:t>
            </w:r>
            <w:proofErr w:type="spellStart"/>
            <w:r>
              <w:rPr>
                <w:rStyle w:val="Hyperlink"/>
                <w:rFonts w:ascii="Calibri" w:hAnsi="Calibri"/>
                <w:color w:val="FFFFFF"/>
                <w:sz w:val="32"/>
                <w:szCs w:val="32"/>
              </w:rPr>
              <w:t>Medcall</w:t>
            </w:r>
            <w:proofErr w:type="spellEnd"/>
            <w:r>
              <w:rPr>
                <w:rStyle w:val="Hyperlink"/>
                <w:rFonts w:ascii="Calibri" w:hAnsi="Calibri"/>
                <w:color w:val="FFFFFF"/>
                <w:sz w:val="32"/>
                <w:szCs w:val="32"/>
              </w:rPr>
              <w:t xml:space="preserve"> Support Worker Recruitment Initiative</w:t>
            </w:r>
          </w:p>
        </w:tc>
        <w:tc>
          <w:tcPr>
            <w:tcW w:w="6504" w:type="dxa"/>
            <w:tcBorders>
              <w:top w:val="nil"/>
              <w:left w:val="nil"/>
              <w:bottom w:val="single" w:sz="8" w:space="0" w:color="auto"/>
              <w:right w:val="nil"/>
            </w:tcBorders>
            <w:tcMar>
              <w:top w:w="0" w:type="dxa"/>
              <w:left w:w="108" w:type="dxa"/>
              <w:bottom w:w="0" w:type="dxa"/>
              <w:right w:w="108" w:type="dxa"/>
            </w:tcMar>
            <w:hideMark/>
          </w:tcPr>
          <w:p w14:paraId="2765C249" w14:textId="05DB2EC8" w:rsidR="00030B2F" w:rsidRPr="00E9015C" w:rsidRDefault="00030B2F" w:rsidP="00030B2F">
            <w:pPr>
              <w:rPr>
                <w:rFonts w:ascii="Corbel" w:hAnsi="Corbel" w:cs="Times New Roman"/>
                <w:color w:val="1F3864" w:themeColor="accent1" w:themeShade="80"/>
                <w:sz w:val="36"/>
                <w:szCs w:val="36"/>
                <w:lang w:val="en-NZ"/>
              </w:rPr>
            </w:pPr>
            <w:r w:rsidRPr="00E9015C">
              <w:rPr>
                <w:rStyle w:val="Hyperlink"/>
                <w:rFonts w:ascii="Corbel" w:hAnsi="Corbel"/>
                <w:color w:val="1F3864" w:themeColor="accent1" w:themeShade="80"/>
                <w:sz w:val="36"/>
                <w:szCs w:val="36"/>
              </w:rPr>
              <w:t>Support Worker Recruitment</w:t>
            </w:r>
          </w:p>
          <w:p w14:paraId="69C6A978" w14:textId="774B8622" w:rsidR="00030B2F" w:rsidRPr="00BF5B33" w:rsidRDefault="00030B2F" w:rsidP="00030B2F">
            <w:pPr>
              <w:rPr>
                <w:rFonts w:ascii="Times New Roman" w:hAnsi="Times New Roman" w:cs="Times New Roman"/>
                <w:color w:val="1F3864" w:themeColor="accent1" w:themeShade="80"/>
                <w:sz w:val="20"/>
                <w:szCs w:val="20"/>
                <w:lang w:val="en-NZ"/>
              </w:rPr>
            </w:pPr>
            <w:proofErr w:type="gramStart"/>
            <w:r w:rsidRPr="00BF5B33">
              <w:rPr>
                <w:rFonts w:ascii="Times New Roman" w:hAnsi="Times New Roman" w:cs="Times New Roman"/>
                <w:color w:val="1F3864" w:themeColor="accent1" w:themeShade="80"/>
                <w:sz w:val="20"/>
                <w:szCs w:val="20"/>
                <w:lang w:val="en-NZ"/>
              </w:rPr>
              <w:t>A</w:t>
            </w:r>
            <w:proofErr w:type="gramEnd"/>
            <w:r w:rsidRPr="00BF5B33">
              <w:rPr>
                <w:rFonts w:ascii="Times New Roman" w:hAnsi="Times New Roman" w:cs="Times New Roman"/>
                <w:color w:val="1F3864" w:themeColor="accent1" w:themeShade="80"/>
                <w:sz w:val="20"/>
                <w:szCs w:val="20"/>
                <w:lang w:val="en-NZ"/>
              </w:rPr>
              <w:t xml:space="preserve"> MSD project currently underway is a joint initiative with </w:t>
            </w:r>
            <w:proofErr w:type="spellStart"/>
            <w:r w:rsidRPr="00BF5B33">
              <w:rPr>
                <w:rFonts w:ascii="Times New Roman" w:hAnsi="Times New Roman" w:cs="Times New Roman"/>
                <w:color w:val="1F3864" w:themeColor="accent1" w:themeShade="80"/>
                <w:sz w:val="20"/>
                <w:szCs w:val="20"/>
                <w:lang w:val="en-NZ"/>
              </w:rPr>
              <w:t>Medcall</w:t>
            </w:r>
            <w:proofErr w:type="spellEnd"/>
            <w:r w:rsidRPr="00BF5B33">
              <w:rPr>
                <w:rFonts w:ascii="Times New Roman" w:hAnsi="Times New Roman" w:cs="Times New Roman"/>
                <w:color w:val="1F3864" w:themeColor="accent1" w:themeShade="80"/>
                <w:sz w:val="20"/>
                <w:szCs w:val="20"/>
                <w:lang w:val="en-NZ"/>
              </w:rPr>
              <w:t xml:space="preserve">.  Since the start of 2018, </w:t>
            </w:r>
            <w:proofErr w:type="spellStart"/>
            <w:r w:rsidRPr="00BF5B33">
              <w:rPr>
                <w:rFonts w:ascii="Times New Roman" w:hAnsi="Times New Roman" w:cs="Times New Roman"/>
                <w:color w:val="1F3864" w:themeColor="accent1" w:themeShade="80"/>
                <w:sz w:val="20"/>
                <w:szCs w:val="20"/>
                <w:lang w:val="en-NZ"/>
              </w:rPr>
              <w:t>Medcall</w:t>
            </w:r>
            <w:proofErr w:type="spellEnd"/>
            <w:r w:rsidRPr="00BF5B33">
              <w:rPr>
                <w:rFonts w:ascii="Times New Roman" w:hAnsi="Times New Roman" w:cs="Times New Roman"/>
                <w:color w:val="1F3864" w:themeColor="accent1" w:themeShade="80"/>
                <w:sz w:val="20"/>
                <w:szCs w:val="20"/>
                <w:lang w:val="en-NZ"/>
              </w:rPr>
              <w:t xml:space="preserve"> has been working to screen MSD-referred candidates to industry standard, preparing them for re-entry to the labour market, before profiling them to local employers with immediate labour demand.</w:t>
            </w:r>
          </w:p>
          <w:p w14:paraId="2ABCB8E5" w14:textId="250DFF23" w:rsidR="00030B2F" w:rsidRPr="00BF5B33" w:rsidRDefault="00030B2F" w:rsidP="00030B2F">
            <w:pPr>
              <w:rPr>
                <w:rFonts w:ascii="Times New Roman" w:hAnsi="Times New Roman" w:cs="Times New Roman"/>
                <w:color w:val="1F3864" w:themeColor="accent1" w:themeShade="80"/>
                <w:sz w:val="20"/>
                <w:szCs w:val="20"/>
                <w:lang w:val="en-NZ"/>
              </w:rPr>
            </w:pPr>
          </w:p>
          <w:p w14:paraId="2501A24E" w14:textId="1AC78B3C" w:rsidR="00030B2F" w:rsidRPr="00BF5B33" w:rsidRDefault="00030B2F" w:rsidP="00030B2F">
            <w:pPr>
              <w:rPr>
                <w:rFonts w:ascii="Times New Roman" w:eastAsia="Times New Roman" w:hAnsi="Times New Roman" w:cs="Times New Roman"/>
                <w:color w:val="1F3864" w:themeColor="accent1" w:themeShade="80"/>
                <w:sz w:val="20"/>
                <w:szCs w:val="20"/>
                <w:lang w:val="en-NZ"/>
              </w:rPr>
            </w:pPr>
            <w:r w:rsidRPr="00BF5B33">
              <w:rPr>
                <w:rFonts w:ascii="Times New Roman" w:hAnsi="Times New Roman" w:cs="Times New Roman"/>
                <w:color w:val="1F3864" w:themeColor="accent1" w:themeShade="80"/>
                <w:sz w:val="20"/>
                <w:szCs w:val="20"/>
                <w:lang w:val="en-NZ"/>
              </w:rPr>
              <w:t>This project is now being extended and they would like to hear from:</w:t>
            </w:r>
          </w:p>
          <w:p w14:paraId="55423314" w14:textId="4B58E4A0" w:rsidR="00030B2F" w:rsidRPr="00BF5B33" w:rsidRDefault="00030B2F" w:rsidP="00030B2F">
            <w:pPr>
              <w:numPr>
                <w:ilvl w:val="0"/>
                <w:numId w:val="4"/>
              </w:numPr>
              <w:rPr>
                <w:rFonts w:ascii="Times New Roman" w:eastAsia="Times New Roman" w:hAnsi="Times New Roman" w:cs="Times New Roman"/>
                <w:color w:val="1F3864" w:themeColor="accent1" w:themeShade="80"/>
                <w:sz w:val="20"/>
                <w:szCs w:val="20"/>
                <w:lang w:val="en-NZ"/>
              </w:rPr>
            </w:pPr>
            <w:r w:rsidRPr="00BF5B33">
              <w:rPr>
                <w:rFonts w:ascii="Times New Roman" w:eastAsia="Times New Roman" w:hAnsi="Times New Roman" w:cs="Times New Roman"/>
                <w:color w:val="1F3864" w:themeColor="accent1" w:themeShade="80"/>
                <w:sz w:val="20"/>
                <w:szCs w:val="20"/>
                <w:lang w:val="en-NZ"/>
              </w:rPr>
              <w:t xml:space="preserve">Any HCHA members that have current or upcoming demand for caregivers/support workers in Southern, Nelson, </w:t>
            </w:r>
            <w:proofErr w:type="spellStart"/>
            <w:r w:rsidRPr="00BF5B33">
              <w:rPr>
                <w:rFonts w:ascii="Times New Roman" w:eastAsia="Times New Roman" w:hAnsi="Times New Roman" w:cs="Times New Roman"/>
                <w:color w:val="1F3864" w:themeColor="accent1" w:themeShade="80"/>
                <w:sz w:val="20"/>
                <w:szCs w:val="20"/>
                <w:lang w:val="en-NZ"/>
              </w:rPr>
              <w:t>MidCentral</w:t>
            </w:r>
            <w:proofErr w:type="spellEnd"/>
            <w:r w:rsidRPr="00BF5B33">
              <w:rPr>
                <w:rFonts w:ascii="Times New Roman" w:eastAsia="Times New Roman" w:hAnsi="Times New Roman" w:cs="Times New Roman"/>
                <w:color w:val="1F3864" w:themeColor="accent1" w:themeShade="80"/>
                <w:sz w:val="20"/>
                <w:szCs w:val="20"/>
                <w:lang w:val="en-NZ"/>
              </w:rPr>
              <w:t xml:space="preserve"> and Wairarapa regions</w:t>
            </w:r>
          </w:p>
          <w:p w14:paraId="48B924D4" w14:textId="150A0C68" w:rsidR="00030B2F" w:rsidRPr="00BF5B33" w:rsidRDefault="00030B2F" w:rsidP="00030B2F">
            <w:pPr>
              <w:numPr>
                <w:ilvl w:val="0"/>
                <w:numId w:val="4"/>
              </w:numPr>
              <w:rPr>
                <w:rFonts w:ascii="Times New Roman" w:eastAsia="Times New Roman" w:hAnsi="Times New Roman" w:cs="Times New Roman"/>
                <w:color w:val="1F3864" w:themeColor="accent1" w:themeShade="80"/>
                <w:sz w:val="20"/>
                <w:szCs w:val="20"/>
                <w:lang w:val="en-NZ"/>
              </w:rPr>
            </w:pPr>
            <w:r w:rsidRPr="00BF5B33">
              <w:rPr>
                <w:rFonts w:ascii="Times New Roman" w:eastAsia="Times New Roman" w:hAnsi="Times New Roman" w:cs="Times New Roman"/>
                <w:color w:val="1F3864" w:themeColor="accent1" w:themeShade="80"/>
                <w:sz w:val="20"/>
                <w:szCs w:val="20"/>
                <w:lang w:val="en-NZ"/>
              </w:rPr>
              <w:t>Any HCHA members with current or upcoming demand for care/support workers in Hamilton/Tauranga/Christchurch</w:t>
            </w:r>
          </w:p>
          <w:p w14:paraId="3D8AC10E" w14:textId="77777777" w:rsidR="00030B2F" w:rsidRPr="00BF5B33" w:rsidRDefault="00030B2F" w:rsidP="00030B2F">
            <w:pPr>
              <w:rPr>
                <w:rFonts w:ascii="Times New Roman" w:eastAsia="Times New Roman" w:hAnsi="Times New Roman" w:cs="Times New Roman"/>
                <w:color w:val="1F3864" w:themeColor="accent1" w:themeShade="80"/>
                <w:sz w:val="20"/>
                <w:szCs w:val="20"/>
                <w:lang w:val="en-NZ"/>
              </w:rPr>
            </w:pPr>
          </w:p>
          <w:p w14:paraId="67AE5889" w14:textId="11264756" w:rsidR="00030B2F" w:rsidRPr="00BF5B33" w:rsidRDefault="00030B2F" w:rsidP="00030B2F">
            <w:pPr>
              <w:rPr>
                <w:rFonts w:ascii="Times New Roman" w:eastAsia="Times New Roman" w:hAnsi="Times New Roman" w:cs="Times New Roman"/>
                <w:color w:val="1F3864" w:themeColor="accent1" w:themeShade="80"/>
                <w:sz w:val="20"/>
                <w:szCs w:val="20"/>
                <w:lang w:val="en-NZ"/>
              </w:rPr>
            </w:pPr>
            <w:r w:rsidRPr="00BF5B33">
              <w:rPr>
                <w:rFonts w:ascii="Times New Roman" w:eastAsia="Times New Roman" w:hAnsi="Times New Roman" w:cs="Times New Roman"/>
                <w:color w:val="1F3864" w:themeColor="accent1" w:themeShade="80"/>
                <w:sz w:val="20"/>
                <w:szCs w:val="20"/>
                <w:lang w:val="en-NZ"/>
              </w:rPr>
              <w:t xml:space="preserve">Contact Jane Clements at </w:t>
            </w:r>
            <w:hyperlink r:id="rId13" w:history="1">
              <w:r w:rsidRPr="00BF5B33">
                <w:rPr>
                  <w:rStyle w:val="Hyperlink"/>
                  <w:rFonts w:ascii="Times New Roman" w:eastAsia="Times New Roman" w:hAnsi="Times New Roman" w:cs="Times New Roman"/>
                  <w:color w:val="1F3864" w:themeColor="accent1" w:themeShade="80"/>
                  <w:sz w:val="20"/>
                  <w:szCs w:val="20"/>
                  <w:lang w:val="en-NZ"/>
                </w:rPr>
                <w:t>jane@medcall.co.nz</w:t>
              </w:r>
            </w:hyperlink>
            <w:r w:rsidRPr="00BF5B33">
              <w:rPr>
                <w:rFonts w:ascii="Times New Roman" w:eastAsia="Times New Roman" w:hAnsi="Times New Roman" w:cs="Times New Roman"/>
                <w:color w:val="1F3864" w:themeColor="accent1" w:themeShade="80"/>
                <w:sz w:val="20"/>
                <w:szCs w:val="20"/>
                <w:lang w:val="en-NZ"/>
              </w:rPr>
              <w:t xml:space="preserve"> </w:t>
            </w:r>
          </w:p>
          <w:p w14:paraId="048B786D" w14:textId="77777777" w:rsidR="00030B2F" w:rsidRPr="00BF5B33" w:rsidRDefault="00030B2F" w:rsidP="00030B2F">
            <w:pPr>
              <w:rPr>
                <w:rFonts w:ascii="Times New Roman" w:eastAsia="Times New Roman" w:hAnsi="Times New Roman" w:cs="Times New Roman"/>
                <w:color w:val="1F3864" w:themeColor="accent1" w:themeShade="80"/>
                <w:sz w:val="20"/>
                <w:szCs w:val="20"/>
                <w:lang w:val="en-NZ"/>
              </w:rPr>
            </w:pPr>
          </w:p>
          <w:p w14:paraId="55A023A0" w14:textId="120497DA" w:rsidR="00030B2F" w:rsidRPr="00BF5B33" w:rsidRDefault="00030B2F" w:rsidP="00030B2F">
            <w:pPr>
              <w:pStyle w:val="NormalWeb"/>
              <w:spacing w:before="0" w:beforeAutospacing="0" w:after="0" w:afterAutospacing="0"/>
              <w:rPr>
                <w:rFonts w:ascii="Times New Roman" w:hAnsi="Times New Roman" w:cs="Times New Roman"/>
                <w:color w:val="1F3864" w:themeColor="accent1" w:themeShade="80"/>
                <w:sz w:val="20"/>
                <w:szCs w:val="20"/>
              </w:rPr>
            </w:pPr>
          </w:p>
        </w:tc>
      </w:tr>
    </w:tbl>
    <w:p w14:paraId="4E0C1D1E" w14:textId="77777777" w:rsidR="00E03F5E" w:rsidRPr="001F3785" w:rsidRDefault="009D3B87" w:rsidP="001F3785"/>
    <w:sectPr w:rsidR="00E03F5E" w:rsidRPr="001F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A4D8D"/>
    <w:multiLevelType w:val="hybridMultilevel"/>
    <w:tmpl w:val="7BBC4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878686E"/>
    <w:multiLevelType w:val="multilevel"/>
    <w:tmpl w:val="3924A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01050"/>
    <w:multiLevelType w:val="hybridMultilevel"/>
    <w:tmpl w:val="15801EB6"/>
    <w:lvl w:ilvl="0" w:tplc="45F05CAE">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3100F"/>
    <w:multiLevelType w:val="multilevel"/>
    <w:tmpl w:val="7166C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274FB"/>
    <w:multiLevelType w:val="multilevel"/>
    <w:tmpl w:val="2732E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477CB"/>
    <w:multiLevelType w:val="multilevel"/>
    <w:tmpl w:val="DFDC8B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85"/>
    <w:rsid w:val="0001098D"/>
    <w:rsid w:val="00030B2F"/>
    <w:rsid w:val="001417DF"/>
    <w:rsid w:val="00165196"/>
    <w:rsid w:val="0019216F"/>
    <w:rsid w:val="001F3785"/>
    <w:rsid w:val="001F4DE0"/>
    <w:rsid w:val="00211EB1"/>
    <w:rsid w:val="00215E21"/>
    <w:rsid w:val="002170C9"/>
    <w:rsid w:val="0024494B"/>
    <w:rsid w:val="00326D62"/>
    <w:rsid w:val="00331525"/>
    <w:rsid w:val="003A6D2B"/>
    <w:rsid w:val="003C076C"/>
    <w:rsid w:val="004621AF"/>
    <w:rsid w:val="00472F6C"/>
    <w:rsid w:val="004B7F9D"/>
    <w:rsid w:val="004D236B"/>
    <w:rsid w:val="004F5D35"/>
    <w:rsid w:val="00544497"/>
    <w:rsid w:val="0058042E"/>
    <w:rsid w:val="005C4D0C"/>
    <w:rsid w:val="005C5239"/>
    <w:rsid w:val="00602713"/>
    <w:rsid w:val="00671A91"/>
    <w:rsid w:val="006947CD"/>
    <w:rsid w:val="007213CA"/>
    <w:rsid w:val="00742945"/>
    <w:rsid w:val="007451E5"/>
    <w:rsid w:val="00773E43"/>
    <w:rsid w:val="007A1C65"/>
    <w:rsid w:val="00825315"/>
    <w:rsid w:val="008A3CD6"/>
    <w:rsid w:val="00911AE7"/>
    <w:rsid w:val="009A6D61"/>
    <w:rsid w:val="009D3B87"/>
    <w:rsid w:val="00A85167"/>
    <w:rsid w:val="00AF79F6"/>
    <w:rsid w:val="00B17B87"/>
    <w:rsid w:val="00B62E7A"/>
    <w:rsid w:val="00B82103"/>
    <w:rsid w:val="00BA6803"/>
    <w:rsid w:val="00BF244E"/>
    <w:rsid w:val="00BF5B33"/>
    <w:rsid w:val="00C200E1"/>
    <w:rsid w:val="00CA75F8"/>
    <w:rsid w:val="00DB24DF"/>
    <w:rsid w:val="00DC1286"/>
    <w:rsid w:val="00DC4D02"/>
    <w:rsid w:val="00DE589D"/>
    <w:rsid w:val="00E13B88"/>
    <w:rsid w:val="00E65149"/>
    <w:rsid w:val="00E9015C"/>
    <w:rsid w:val="00EC0339"/>
    <w:rsid w:val="00EE4DB3"/>
    <w:rsid w:val="00EE630F"/>
    <w:rsid w:val="00F70039"/>
    <w:rsid w:val="00FF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A018"/>
  <w15:chartTrackingRefBased/>
  <w15:docId w15:val="{0C6E8737-2B1A-4DDF-8047-99D0E8EE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785"/>
    <w:pPr>
      <w:spacing w:after="0" w:line="240" w:lineRule="auto"/>
    </w:pPr>
    <w:rPr>
      <w:rFonts w:ascii="Georgia" w:hAnsi="Georgia" w:cs="Calibri"/>
      <w:sz w:val="24"/>
      <w:szCs w:val="24"/>
    </w:rPr>
  </w:style>
  <w:style w:type="paragraph" w:styleId="Heading2">
    <w:name w:val="heading 2"/>
    <w:basedOn w:val="Normal"/>
    <w:link w:val="Heading2Char"/>
    <w:uiPriority w:val="1"/>
    <w:semiHidden/>
    <w:unhideWhenUsed/>
    <w:qFormat/>
    <w:rsid w:val="001F3785"/>
    <w:pPr>
      <w:keepNext/>
      <w:spacing w:before="240"/>
      <w:outlineLvl w:val="1"/>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1F3785"/>
    <w:rPr>
      <w:rFonts w:ascii="Georgia" w:hAnsi="Georgia" w:cs="Calibri"/>
      <w:color w:val="000000"/>
      <w:sz w:val="36"/>
      <w:szCs w:val="36"/>
    </w:rPr>
  </w:style>
  <w:style w:type="character" w:styleId="Hyperlink">
    <w:name w:val="Hyperlink"/>
    <w:basedOn w:val="DefaultParagraphFont"/>
    <w:uiPriority w:val="99"/>
    <w:unhideWhenUsed/>
    <w:rsid w:val="001F3785"/>
    <w:rPr>
      <w:rFonts w:ascii="Verdana" w:hAnsi="Verdana" w:hint="default"/>
      <w:strike w:val="0"/>
      <w:dstrike w:val="0"/>
      <w:color w:val="99CCFF"/>
      <w:u w:val="none"/>
      <w:effect w:val="none"/>
    </w:rPr>
  </w:style>
  <w:style w:type="paragraph" w:styleId="NormalWeb">
    <w:name w:val="Normal (Web)"/>
    <w:basedOn w:val="Normal"/>
    <w:uiPriority w:val="99"/>
    <w:unhideWhenUsed/>
    <w:rsid w:val="001F3785"/>
    <w:pPr>
      <w:spacing w:before="100" w:beforeAutospacing="1" w:after="100" w:afterAutospacing="1"/>
    </w:pPr>
    <w:rPr>
      <w:rFonts w:ascii="Calibri" w:hAnsi="Calibri"/>
      <w:sz w:val="22"/>
      <w:szCs w:val="22"/>
    </w:rPr>
  </w:style>
  <w:style w:type="character" w:customStyle="1" w:styleId="ListParagraphChar">
    <w:name w:val="List Paragraph Char"/>
    <w:basedOn w:val="DefaultParagraphFont"/>
    <w:link w:val="ListParagraph"/>
    <w:uiPriority w:val="34"/>
    <w:locked/>
    <w:rsid w:val="001F3785"/>
    <w:rPr>
      <w:rFonts w:ascii="Calibri" w:hAnsi="Calibri" w:cs="Calibri"/>
    </w:rPr>
  </w:style>
  <w:style w:type="paragraph" w:styleId="ListParagraph">
    <w:name w:val="List Paragraph"/>
    <w:basedOn w:val="Normal"/>
    <w:link w:val="ListParagraphChar"/>
    <w:uiPriority w:val="34"/>
    <w:qFormat/>
    <w:rsid w:val="001F3785"/>
    <w:pPr>
      <w:ind w:left="720"/>
    </w:pPr>
    <w:rPr>
      <w:rFonts w:ascii="Calibri" w:hAnsi="Calibri"/>
      <w:sz w:val="22"/>
      <w:szCs w:val="22"/>
    </w:rPr>
  </w:style>
  <w:style w:type="paragraph" w:customStyle="1" w:styleId="TableofContentsHeading">
    <w:name w:val="Table of Contents Heading"/>
    <w:basedOn w:val="Normal"/>
    <w:uiPriority w:val="99"/>
    <w:semiHidden/>
    <w:rsid w:val="001F3785"/>
    <w:pPr>
      <w:spacing w:before="240"/>
    </w:pPr>
    <w:rPr>
      <w:color w:val="FFF084"/>
      <w:sz w:val="32"/>
      <w:szCs w:val="32"/>
    </w:rPr>
  </w:style>
  <w:style w:type="paragraph" w:customStyle="1" w:styleId="TableofContentsEntry">
    <w:name w:val="Table of Contents Entry"/>
    <w:basedOn w:val="Normal"/>
    <w:uiPriority w:val="99"/>
    <w:semiHidden/>
    <w:rsid w:val="001F3785"/>
    <w:pPr>
      <w:spacing w:after="120"/>
      <w:ind w:left="216" w:hanging="216"/>
    </w:pPr>
    <w:rPr>
      <w:color w:val="FFFFFF"/>
      <w:sz w:val="20"/>
      <w:szCs w:val="20"/>
    </w:rPr>
  </w:style>
  <w:style w:type="paragraph" w:customStyle="1" w:styleId="element">
    <w:name w:val="element"/>
    <w:basedOn w:val="Normal"/>
    <w:uiPriority w:val="99"/>
    <w:semiHidden/>
    <w:rsid w:val="001F3785"/>
    <w:pPr>
      <w:spacing w:after="150"/>
    </w:pPr>
    <w:rPr>
      <w:rFonts w:ascii="Calibri" w:hAnsi="Calibri"/>
      <w:sz w:val="22"/>
      <w:szCs w:val="22"/>
    </w:rPr>
  </w:style>
  <w:style w:type="paragraph" w:customStyle="1" w:styleId="text5">
    <w:name w:val="text5"/>
    <w:basedOn w:val="Normal"/>
    <w:uiPriority w:val="99"/>
    <w:semiHidden/>
    <w:rsid w:val="001F3785"/>
    <w:pPr>
      <w:spacing w:before="83" w:after="216" w:line="288" w:lineRule="atLeast"/>
    </w:pPr>
    <w:rPr>
      <w:rFonts w:ascii="Calibri" w:hAnsi="Calibri"/>
      <w:sz w:val="22"/>
      <w:szCs w:val="22"/>
    </w:rPr>
  </w:style>
  <w:style w:type="character" w:styleId="UnresolvedMention">
    <w:name w:val="Unresolved Mention"/>
    <w:basedOn w:val="DefaultParagraphFont"/>
    <w:uiPriority w:val="99"/>
    <w:semiHidden/>
    <w:unhideWhenUsed/>
    <w:rsid w:val="00BF5B33"/>
    <w:rPr>
      <w:color w:val="605E5C"/>
      <w:shd w:val="clear" w:color="auto" w:fill="E1DFDD"/>
    </w:rPr>
  </w:style>
  <w:style w:type="character" w:styleId="FollowedHyperlink">
    <w:name w:val="FollowedHyperlink"/>
    <w:basedOn w:val="DefaultParagraphFont"/>
    <w:uiPriority w:val="99"/>
    <w:semiHidden/>
    <w:unhideWhenUsed/>
    <w:rsid w:val="004D236B"/>
    <w:rPr>
      <w:color w:val="954F72" w:themeColor="followedHyperlink"/>
      <w:u w:val="single"/>
    </w:rPr>
  </w:style>
  <w:style w:type="paragraph" w:customStyle="1" w:styleId="Default">
    <w:name w:val="Default"/>
    <w:rsid w:val="004D23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312">
      <w:bodyDiv w:val="1"/>
      <w:marLeft w:val="0"/>
      <w:marRight w:val="0"/>
      <w:marTop w:val="0"/>
      <w:marBottom w:val="0"/>
      <w:divBdr>
        <w:top w:val="none" w:sz="0" w:space="0" w:color="auto"/>
        <w:left w:val="none" w:sz="0" w:space="0" w:color="auto"/>
        <w:bottom w:val="none" w:sz="0" w:space="0" w:color="auto"/>
        <w:right w:val="none" w:sz="0" w:space="0" w:color="auto"/>
      </w:divBdr>
    </w:div>
    <w:div w:id="191768928">
      <w:bodyDiv w:val="1"/>
      <w:marLeft w:val="0"/>
      <w:marRight w:val="0"/>
      <w:marTop w:val="0"/>
      <w:marBottom w:val="0"/>
      <w:divBdr>
        <w:top w:val="none" w:sz="0" w:space="0" w:color="auto"/>
        <w:left w:val="none" w:sz="0" w:space="0" w:color="auto"/>
        <w:bottom w:val="none" w:sz="0" w:space="0" w:color="auto"/>
        <w:right w:val="none" w:sz="0" w:space="0" w:color="auto"/>
      </w:divBdr>
    </w:div>
    <w:div w:id="3393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mailto:jane@medcall.co.nz"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ngamukapun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bill/member/2016/0215/latest/DLM7054315.html" TargetMode="External"/><Relationship Id="rId11" Type="http://schemas.openxmlformats.org/officeDocument/2006/relationships/hyperlink" Target="https://docs.google.com/forms/d/e/1FAIpQLSelzDaey1SftB93epaiheW9YPKbuFN0UkeYHjHbn8-FeiKgCg/viewform?fbclid=IwAR1fL3UTqRGZ7MQxhQ_ZOGMaC1VReBVYeVaTSjS_ClP8PQyqMrEmgL6dl-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Titcombe</dc:creator>
  <cp:keywords/>
  <dc:description/>
  <cp:lastModifiedBy>Graeme Titcombe</cp:lastModifiedBy>
  <cp:revision>2</cp:revision>
  <dcterms:created xsi:type="dcterms:W3CDTF">2019-10-17T22:11:00Z</dcterms:created>
  <dcterms:modified xsi:type="dcterms:W3CDTF">2019-10-17T22:11:00Z</dcterms:modified>
</cp:coreProperties>
</file>