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722"/>
        <w:gridCol w:w="6638"/>
      </w:tblGrid>
      <w:tr w:rsidR="005C4D0C" w14:paraId="1E002DF0" w14:textId="77777777" w:rsidTr="001A6450">
        <w:trPr>
          <w:trHeight w:val="1295"/>
        </w:trPr>
        <w:tc>
          <w:tcPr>
            <w:tcW w:w="2722" w:type="dxa"/>
            <w:shd w:val="clear" w:color="auto" w:fill="FFFFFF"/>
            <w:tcMar>
              <w:top w:w="0" w:type="dxa"/>
              <w:left w:w="108" w:type="dxa"/>
              <w:bottom w:w="0" w:type="dxa"/>
              <w:right w:w="108" w:type="dxa"/>
            </w:tcMar>
            <w:hideMark/>
          </w:tcPr>
          <w:p w14:paraId="486ACCA9" w14:textId="37514E35" w:rsidR="001F3785" w:rsidRDefault="001F3785">
            <w:pPr>
              <w:pStyle w:val="TableofContentsHeading"/>
              <w:spacing w:line="276" w:lineRule="auto"/>
              <w:rPr>
                <w:rFonts w:ascii="Corbel" w:hAnsi="Corbel"/>
                <w:color w:val="FFFFFF"/>
              </w:rPr>
            </w:pPr>
            <w:r>
              <w:rPr>
                <w:rFonts w:ascii="Corbel" w:hAnsi="Corbel"/>
                <w:noProof/>
                <w:color w:val="FFFFFF"/>
              </w:rPr>
              <w:drawing>
                <wp:inline distT="0" distB="0" distL="0" distR="0" wp14:anchorId="4989D986" wp14:editId="47DAFE0F">
                  <wp:extent cx="1676400" cy="971550"/>
                  <wp:effectExtent l="0" t="0" r="0" b="0"/>
                  <wp:docPr id="1" name="Picture 1" descr="cid:image001.jpg@01CF4DBD.3765F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CF4DBD.3765F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971550"/>
                          </a:xfrm>
                          <a:prstGeom prst="rect">
                            <a:avLst/>
                          </a:prstGeom>
                          <a:noFill/>
                          <a:ln>
                            <a:noFill/>
                          </a:ln>
                        </pic:spPr>
                      </pic:pic>
                    </a:graphicData>
                  </a:graphic>
                </wp:inline>
              </w:drawing>
            </w:r>
          </w:p>
        </w:tc>
        <w:tc>
          <w:tcPr>
            <w:tcW w:w="6638" w:type="dxa"/>
            <w:tcMar>
              <w:top w:w="0" w:type="dxa"/>
              <w:left w:w="108" w:type="dxa"/>
              <w:bottom w:w="0" w:type="dxa"/>
              <w:right w:w="108" w:type="dxa"/>
            </w:tcMar>
          </w:tcPr>
          <w:p w14:paraId="443A4736" w14:textId="77777777" w:rsidR="001F3785" w:rsidRDefault="001F3785">
            <w:pPr>
              <w:jc w:val="center"/>
            </w:pPr>
            <w:r>
              <w:rPr>
                <w:rFonts w:ascii="Calibri" w:hAnsi="Calibri"/>
                <w:color w:val="4F6228"/>
                <w:sz w:val="96"/>
                <w:szCs w:val="96"/>
              </w:rPr>
              <w:t>In-House News</w:t>
            </w:r>
          </w:p>
          <w:p w14:paraId="0ACAB7F7" w14:textId="77777777" w:rsidR="001F3785" w:rsidRDefault="001F3785">
            <w:pPr>
              <w:pStyle w:val="Heading2"/>
              <w:spacing w:before="0" w:line="276" w:lineRule="auto"/>
              <w:ind w:right="946"/>
              <w:jc w:val="center"/>
              <w:rPr>
                <w:rFonts w:ascii="Corbel" w:eastAsia="Times New Roman" w:hAnsi="Corbel"/>
                <w:i/>
                <w:iCs/>
                <w:color w:val="215968"/>
                <w:sz w:val="22"/>
                <w:szCs w:val="22"/>
              </w:rPr>
            </w:pPr>
          </w:p>
        </w:tc>
      </w:tr>
      <w:tr w:rsidR="005C4D0C" w14:paraId="3518C314" w14:textId="77777777" w:rsidTr="001A6450">
        <w:trPr>
          <w:trHeight w:val="620"/>
        </w:trPr>
        <w:tc>
          <w:tcPr>
            <w:tcW w:w="2722" w:type="dxa"/>
            <w:shd w:val="clear" w:color="auto" w:fill="548DD4"/>
            <w:tcMar>
              <w:top w:w="0" w:type="dxa"/>
              <w:left w:w="108" w:type="dxa"/>
              <w:bottom w:w="0" w:type="dxa"/>
              <w:right w:w="108" w:type="dxa"/>
            </w:tcMar>
            <w:hideMark/>
          </w:tcPr>
          <w:p w14:paraId="07EF144D" w14:textId="460733FF" w:rsidR="001F3785" w:rsidRPr="00AD12BB" w:rsidRDefault="00DF7B2C">
            <w:pPr>
              <w:pStyle w:val="TableofContentsHeading"/>
              <w:spacing w:line="276" w:lineRule="auto"/>
              <w:rPr>
                <w:b/>
                <w:bCs/>
              </w:rPr>
            </w:pPr>
            <w:r>
              <w:rPr>
                <w:rFonts w:ascii="Corbel" w:hAnsi="Corbel"/>
                <w:b/>
                <w:bCs/>
                <w:color w:val="FFFFFF"/>
              </w:rPr>
              <w:t>4</w:t>
            </w:r>
            <w:r w:rsidR="001D49FD" w:rsidRPr="001D49FD">
              <w:rPr>
                <w:rFonts w:ascii="Corbel" w:hAnsi="Corbel"/>
                <w:b/>
                <w:bCs/>
                <w:color w:val="FFFFFF"/>
                <w:vertAlign w:val="superscript"/>
              </w:rPr>
              <w:t>th</w:t>
            </w:r>
            <w:r w:rsidR="001D49FD">
              <w:rPr>
                <w:rFonts w:ascii="Corbel" w:hAnsi="Corbel"/>
                <w:b/>
                <w:bCs/>
                <w:color w:val="FFFFFF"/>
              </w:rPr>
              <w:t xml:space="preserve"> </w:t>
            </w:r>
            <w:r w:rsidR="00A7304D">
              <w:rPr>
                <w:rFonts w:ascii="Corbel" w:hAnsi="Corbel"/>
                <w:b/>
                <w:bCs/>
                <w:color w:val="FFFFFF"/>
              </w:rPr>
              <w:t>O</w:t>
            </w:r>
            <w:r w:rsidR="00C51853" w:rsidRPr="00AD12BB">
              <w:rPr>
                <w:rFonts w:ascii="Corbel" w:hAnsi="Corbel"/>
                <w:b/>
                <w:bCs/>
                <w:color w:val="FFFFFF"/>
              </w:rPr>
              <w:t xml:space="preserve">ctober </w:t>
            </w:r>
            <w:r w:rsidR="001F3785" w:rsidRPr="00AD12BB">
              <w:rPr>
                <w:rFonts w:ascii="Corbel" w:hAnsi="Corbel"/>
                <w:b/>
                <w:bCs/>
                <w:color w:val="FFFFFF"/>
              </w:rPr>
              <w:t>2019</w:t>
            </w:r>
          </w:p>
        </w:tc>
        <w:tc>
          <w:tcPr>
            <w:tcW w:w="6638" w:type="dxa"/>
            <w:tcMar>
              <w:top w:w="0" w:type="dxa"/>
              <w:left w:w="108" w:type="dxa"/>
              <w:bottom w:w="0" w:type="dxa"/>
              <w:right w:w="108" w:type="dxa"/>
            </w:tcMar>
            <w:hideMark/>
          </w:tcPr>
          <w:p w14:paraId="79EA85B7" w14:textId="77777777" w:rsidR="001F3785" w:rsidRDefault="001F3785">
            <w:pPr>
              <w:pStyle w:val="Heading2"/>
              <w:spacing w:before="0" w:line="276" w:lineRule="auto"/>
              <w:ind w:right="946"/>
              <w:jc w:val="center"/>
              <w:rPr>
                <w:rFonts w:eastAsia="Times New Roman"/>
              </w:rPr>
            </w:pPr>
            <w:r>
              <w:rPr>
                <w:rFonts w:ascii="Corbel" w:eastAsia="Times New Roman" w:hAnsi="Corbel"/>
                <w:color w:val="1F497D"/>
              </w:rPr>
              <w:t>Tēnā koutou katoa</w:t>
            </w:r>
          </w:p>
        </w:tc>
      </w:tr>
      <w:tr w:rsidR="005C4D0C" w14:paraId="43C17657" w14:textId="77777777" w:rsidTr="001A6450">
        <w:trPr>
          <w:trHeight w:val="1368"/>
        </w:trPr>
        <w:tc>
          <w:tcPr>
            <w:tcW w:w="2722" w:type="dxa"/>
            <w:tcBorders>
              <w:top w:val="nil"/>
              <w:left w:val="nil"/>
              <w:bottom w:val="single" w:sz="8" w:space="0" w:color="auto"/>
              <w:right w:val="nil"/>
            </w:tcBorders>
            <w:shd w:val="clear" w:color="auto" w:fill="548DD4"/>
            <w:tcMar>
              <w:top w:w="0" w:type="dxa"/>
              <w:left w:w="108" w:type="dxa"/>
              <w:bottom w:w="0" w:type="dxa"/>
              <w:right w:w="108" w:type="dxa"/>
            </w:tcMar>
          </w:tcPr>
          <w:p w14:paraId="1200AB03" w14:textId="77777777" w:rsidR="001F3785" w:rsidRPr="00472F6C" w:rsidRDefault="001F3785">
            <w:pPr>
              <w:pStyle w:val="TableofContentsHeading"/>
              <w:spacing w:line="276" w:lineRule="auto"/>
              <w:rPr>
                <w:rFonts w:ascii="Calibri" w:hAnsi="Calibri"/>
                <w:color w:val="FBD4B4"/>
                <w:sz w:val="72"/>
                <w:szCs w:val="72"/>
              </w:rPr>
            </w:pPr>
            <w:r w:rsidRPr="00472F6C">
              <w:rPr>
                <w:rFonts w:ascii="Calibri" w:hAnsi="Calibri"/>
                <w:color w:val="FBD4B4"/>
                <w:sz w:val="72"/>
                <w:szCs w:val="72"/>
              </w:rPr>
              <w:t>News</w:t>
            </w:r>
          </w:p>
          <w:p w14:paraId="3EAD5646" w14:textId="77777777" w:rsidR="001F3785" w:rsidRDefault="001F3785"/>
        </w:tc>
        <w:tc>
          <w:tcPr>
            <w:tcW w:w="6638" w:type="dxa"/>
            <w:tcBorders>
              <w:top w:val="nil"/>
              <w:left w:val="nil"/>
              <w:bottom w:val="single" w:sz="8" w:space="0" w:color="auto"/>
              <w:right w:val="nil"/>
            </w:tcBorders>
            <w:tcMar>
              <w:top w:w="0" w:type="dxa"/>
              <w:left w:w="108" w:type="dxa"/>
              <w:bottom w:w="0" w:type="dxa"/>
              <w:right w:w="108" w:type="dxa"/>
            </w:tcMar>
            <w:hideMark/>
          </w:tcPr>
          <w:p w14:paraId="2E9C407D" w14:textId="1AD3B0B2" w:rsidR="001F3785" w:rsidRDefault="001F3785">
            <w:pPr>
              <w:pStyle w:val="Heading2"/>
              <w:spacing w:before="0" w:line="276" w:lineRule="auto"/>
              <w:ind w:right="946"/>
              <w:jc w:val="center"/>
              <w:rPr>
                <w:rFonts w:ascii="Corbel" w:eastAsia="Times New Roman" w:hAnsi="Corbel"/>
                <w:i/>
                <w:iCs/>
                <w:color w:val="1F497D"/>
                <w:sz w:val="22"/>
                <w:szCs w:val="22"/>
              </w:rPr>
            </w:pPr>
            <w:r>
              <w:rPr>
                <w:rFonts w:ascii="Corbel" w:eastAsia="Times New Roman" w:hAnsi="Corbel"/>
                <w:i/>
                <w:iCs/>
                <w:color w:val="215968"/>
                <w:sz w:val="22"/>
                <w:szCs w:val="22"/>
              </w:rPr>
              <w:t xml:space="preserve">This Bulletin is generally </w:t>
            </w:r>
            <w:r>
              <w:rPr>
                <w:rFonts w:ascii="Corbel" w:eastAsia="Times New Roman" w:hAnsi="Corbel"/>
                <w:i/>
                <w:iCs/>
                <w:color w:val="1F497D"/>
                <w:sz w:val="22"/>
                <w:szCs w:val="22"/>
              </w:rPr>
              <w:t xml:space="preserve">sent to individual contacts in an </w:t>
            </w:r>
            <w:proofErr w:type="spellStart"/>
            <w:r>
              <w:rPr>
                <w:rFonts w:ascii="Corbel" w:eastAsia="Times New Roman" w:hAnsi="Corbel"/>
                <w:i/>
                <w:iCs/>
                <w:color w:val="1F497D"/>
                <w:sz w:val="22"/>
                <w:szCs w:val="22"/>
              </w:rPr>
              <w:t>organi</w:t>
            </w:r>
            <w:r w:rsidR="00E92AE1">
              <w:rPr>
                <w:rFonts w:ascii="Corbel" w:eastAsia="Times New Roman" w:hAnsi="Corbel"/>
                <w:i/>
                <w:iCs/>
                <w:color w:val="1F497D"/>
                <w:sz w:val="22"/>
                <w:szCs w:val="22"/>
              </w:rPr>
              <w:t>s</w:t>
            </w:r>
            <w:r>
              <w:rPr>
                <w:rFonts w:ascii="Corbel" w:eastAsia="Times New Roman" w:hAnsi="Corbel"/>
                <w:i/>
                <w:iCs/>
                <w:color w:val="1F497D"/>
                <w:sz w:val="22"/>
                <w:szCs w:val="22"/>
              </w:rPr>
              <w:t>ation</w:t>
            </w:r>
            <w:proofErr w:type="spellEnd"/>
            <w:r>
              <w:rPr>
                <w:rFonts w:ascii="Corbel" w:eastAsia="Times New Roman" w:hAnsi="Corbel"/>
                <w:i/>
                <w:iCs/>
                <w:color w:val="1F497D"/>
                <w:sz w:val="22"/>
                <w:szCs w:val="22"/>
              </w:rPr>
              <w:t>.  Please forward to staff in your organi</w:t>
            </w:r>
            <w:r w:rsidR="00CE4865">
              <w:rPr>
                <w:rFonts w:ascii="Corbel" w:eastAsia="Times New Roman" w:hAnsi="Corbel"/>
                <w:i/>
                <w:iCs/>
                <w:color w:val="1F497D"/>
                <w:sz w:val="22"/>
                <w:szCs w:val="22"/>
              </w:rPr>
              <w:t>s</w:t>
            </w:r>
            <w:r>
              <w:rPr>
                <w:rFonts w:ascii="Corbel" w:eastAsia="Times New Roman" w:hAnsi="Corbel"/>
                <w:i/>
                <w:iCs/>
                <w:color w:val="1F497D"/>
                <w:sz w:val="22"/>
                <w:szCs w:val="22"/>
              </w:rPr>
              <w:t>ation who may the find the information useful.   Please don’t forward outside of your organisation, as that undermines the Association’s viability.</w:t>
            </w:r>
          </w:p>
          <w:p w14:paraId="1AD3A083" w14:textId="2B7E7D5E" w:rsidR="00F70039" w:rsidRDefault="00F70039">
            <w:pPr>
              <w:pStyle w:val="Heading2"/>
              <w:spacing w:before="0" w:line="276" w:lineRule="auto"/>
              <w:ind w:right="946"/>
              <w:jc w:val="center"/>
              <w:rPr>
                <w:color w:val="auto"/>
                <w:sz w:val="24"/>
                <w:szCs w:val="24"/>
              </w:rPr>
            </w:pPr>
          </w:p>
        </w:tc>
      </w:tr>
      <w:tr w:rsidR="00BF5B33" w14:paraId="43C536A4" w14:textId="77777777" w:rsidTr="001A6450">
        <w:tc>
          <w:tcPr>
            <w:tcW w:w="2722" w:type="dxa"/>
            <w:tcBorders>
              <w:top w:val="single" w:sz="8" w:space="0" w:color="auto"/>
              <w:left w:val="nil"/>
              <w:bottom w:val="single" w:sz="4" w:space="0" w:color="auto"/>
              <w:right w:val="nil"/>
            </w:tcBorders>
            <w:shd w:val="clear" w:color="auto" w:fill="548DD4"/>
            <w:tcMar>
              <w:top w:w="0" w:type="dxa"/>
              <w:left w:w="108" w:type="dxa"/>
              <w:bottom w:w="0" w:type="dxa"/>
              <w:right w:w="108" w:type="dxa"/>
            </w:tcMar>
          </w:tcPr>
          <w:p w14:paraId="0C8746EC" w14:textId="0FA4E72D" w:rsidR="00BF5B33" w:rsidRPr="00E97B57" w:rsidRDefault="00457E27" w:rsidP="00BF5B33">
            <w:pPr>
              <w:pStyle w:val="TableofContentsEntry"/>
              <w:spacing w:line="276" w:lineRule="auto"/>
              <w:rPr>
                <w:rStyle w:val="Hyperlink"/>
                <w:rFonts w:ascii="Calibri" w:hAnsi="Calibri"/>
                <w:b/>
                <w:bCs/>
                <w:color w:val="FFFFFF"/>
                <w:sz w:val="36"/>
                <w:szCs w:val="36"/>
              </w:rPr>
            </w:pPr>
            <w:r w:rsidRPr="00E97B57">
              <w:rPr>
                <w:rStyle w:val="Hyperlink"/>
                <w:rFonts w:ascii="Symbol" w:hAnsi="Symbol"/>
                <w:color w:val="FFFFFF"/>
                <w:sz w:val="36"/>
                <w:szCs w:val="36"/>
              </w:rPr>
              <w:t></w:t>
            </w:r>
            <w:r w:rsidRPr="00E97B57">
              <w:rPr>
                <w:rStyle w:val="Hyperlink"/>
                <w:rFonts w:ascii="Times New Roman" w:hAnsi="Times New Roman" w:cs="Times New Roman"/>
                <w:color w:val="FFFFFF"/>
                <w:sz w:val="36"/>
                <w:szCs w:val="36"/>
              </w:rPr>
              <w:t> </w:t>
            </w:r>
            <w:proofErr w:type="spellStart"/>
            <w:r w:rsidR="00375A25" w:rsidRPr="00E97B57">
              <w:rPr>
                <w:rStyle w:val="Hyperlink"/>
                <w:rFonts w:ascii="Calibri" w:hAnsi="Calibri"/>
                <w:b/>
                <w:bCs/>
                <w:color w:val="FFFFFF" w:themeColor="background1"/>
                <w:sz w:val="36"/>
                <w:szCs w:val="36"/>
              </w:rPr>
              <w:t>Ro</w:t>
            </w:r>
            <w:r w:rsidR="001136D7" w:rsidRPr="00E97B57">
              <w:rPr>
                <w:rStyle w:val="Hyperlink"/>
                <w:rFonts w:ascii="Calibri" w:hAnsi="Calibri"/>
                <w:b/>
                <w:bCs/>
                <w:color w:val="FFFFFF" w:themeColor="background1"/>
                <w:sz w:val="36"/>
                <w:szCs w:val="36"/>
              </w:rPr>
              <w:t>VE</w:t>
            </w:r>
            <w:proofErr w:type="spellEnd"/>
          </w:p>
          <w:p w14:paraId="0836264A" w14:textId="54B5EF2F" w:rsidR="00BF5B33" w:rsidRPr="00E97B57" w:rsidRDefault="00BF5B33">
            <w:pPr>
              <w:pStyle w:val="TableofContentsEntry"/>
              <w:spacing w:line="276" w:lineRule="auto"/>
              <w:rPr>
                <w:rStyle w:val="Hyperlink"/>
                <w:rFonts w:ascii="Symbol" w:hAnsi="Symbol"/>
                <w:color w:val="FFFFFF"/>
                <w:sz w:val="36"/>
                <w:szCs w:val="36"/>
              </w:rPr>
            </w:pPr>
          </w:p>
        </w:tc>
        <w:tc>
          <w:tcPr>
            <w:tcW w:w="6638" w:type="dxa"/>
            <w:tcBorders>
              <w:top w:val="single" w:sz="8" w:space="0" w:color="auto"/>
              <w:left w:val="nil"/>
              <w:bottom w:val="single" w:sz="4" w:space="0" w:color="auto"/>
              <w:right w:val="nil"/>
            </w:tcBorders>
            <w:tcMar>
              <w:top w:w="0" w:type="dxa"/>
              <w:left w:w="108" w:type="dxa"/>
              <w:bottom w:w="0" w:type="dxa"/>
              <w:right w:w="108" w:type="dxa"/>
            </w:tcMar>
          </w:tcPr>
          <w:p w14:paraId="5274A993" w14:textId="44017A34" w:rsidR="003A6D2B" w:rsidRPr="00784051" w:rsidRDefault="0087185D" w:rsidP="003A6D2B">
            <w:pPr>
              <w:pStyle w:val="TableofContentsEntry"/>
              <w:spacing w:line="276" w:lineRule="auto"/>
              <w:rPr>
                <w:rStyle w:val="Hyperlink"/>
                <w:rFonts w:ascii="Corbel" w:hAnsi="Corbel"/>
                <w:color w:val="1F3864" w:themeColor="accent1" w:themeShade="80"/>
                <w:sz w:val="32"/>
                <w:szCs w:val="32"/>
              </w:rPr>
            </w:pPr>
            <w:r w:rsidRPr="00784051">
              <w:rPr>
                <w:rStyle w:val="Hyperlink"/>
                <w:rFonts w:ascii="Corbel" w:hAnsi="Corbel" w:cstheme="minorHAnsi"/>
                <w:color w:val="1F3864" w:themeColor="accent1" w:themeShade="80"/>
                <w:sz w:val="32"/>
                <w:szCs w:val="32"/>
              </w:rPr>
              <w:t>Reform of Vocational Education</w:t>
            </w:r>
          </w:p>
          <w:p w14:paraId="3BC9AEF4" w14:textId="35399186" w:rsidR="00EE630F" w:rsidRDefault="00EE4B29" w:rsidP="004E0574">
            <w:pPr>
              <w:pStyle w:val="NormalWeb"/>
              <w:spacing w:before="0" w:beforeAutospacing="0" w:after="0" w:afterAutospacing="0" w:line="276" w:lineRule="auto"/>
              <w:rPr>
                <w:rFonts w:ascii="Times New Roman" w:eastAsia="Times New Roman" w:hAnsi="Times New Roman" w:cs="Times New Roman"/>
                <w:spacing w:val="2"/>
              </w:rPr>
            </w:pPr>
            <w:r>
              <w:rPr>
                <w:rFonts w:ascii="Times New Roman" w:eastAsia="Times New Roman" w:hAnsi="Times New Roman" w:cs="Times New Roman"/>
                <w:spacing w:val="2"/>
              </w:rPr>
              <w:t>On 1 August 2019, Minister of Education, Chris Hipkins, announced the decision</w:t>
            </w:r>
            <w:r w:rsidR="000F3A41">
              <w:rPr>
                <w:rFonts w:ascii="Times New Roman" w:eastAsia="Times New Roman" w:hAnsi="Times New Roman" w:cs="Times New Roman"/>
                <w:spacing w:val="2"/>
              </w:rPr>
              <w:t>s made on the Reform of Vocational Education (</w:t>
            </w:r>
            <w:proofErr w:type="spellStart"/>
            <w:r w:rsidR="000F3A41">
              <w:rPr>
                <w:rFonts w:ascii="Times New Roman" w:eastAsia="Times New Roman" w:hAnsi="Times New Roman" w:cs="Times New Roman"/>
                <w:spacing w:val="2"/>
              </w:rPr>
              <w:t>RoVE</w:t>
            </w:r>
            <w:proofErr w:type="spellEnd"/>
            <w:r w:rsidR="006414B9">
              <w:rPr>
                <w:rFonts w:ascii="Times New Roman" w:eastAsia="Times New Roman" w:hAnsi="Times New Roman" w:cs="Times New Roman"/>
                <w:spacing w:val="2"/>
              </w:rPr>
              <w:t>)</w:t>
            </w:r>
            <w:r w:rsidR="000F3A41">
              <w:rPr>
                <w:rFonts w:ascii="Times New Roman" w:eastAsia="Times New Roman" w:hAnsi="Times New Roman" w:cs="Times New Roman"/>
                <w:spacing w:val="2"/>
              </w:rPr>
              <w:t xml:space="preserve"> proposals that were put forward in February 2019.</w:t>
            </w:r>
          </w:p>
          <w:p w14:paraId="5A77678E" w14:textId="77777777" w:rsidR="000F3A41" w:rsidRDefault="000F3A41" w:rsidP="004E0574">
            <w:pPr>
              <w:pStyle w:val="NormalWeb"/>
              <w:spacing w:before="0" w:beforeAutospacing="0" w:after="0" w:afterAutospacing="0" w:line="276" w:lineRule="auto"/>
              <w:rPr>
                <w:rFonts w:ascii="Corbel" w:hAnsi="Corbel" w:cs="Times New Roman"/>
                <w:color w:val="1F497D"/>
              </w:rPr>
            </w:pPr>
          </w:p>
          <w:p w14:paraId="6649AC3B" w14:textId="048BDB3E" w:rsidR="001317A9" w:rsidRDefault="000F3A41" w:rsidP="004E0574">
            <w:pPr>
              <w:pStyle w:val="NormalWeb"/>
              <w:spacing w:before="0" w:beforeAutospacing="0" w:after="0" w:afterAutospacing="0" w:line="276" w:lineRule="auto"/>
              <w:rPr>
                <w:rFonts w:ascii="Times New Roman" w:hAnsi="Times New Roman" w:cs="Times New Roman"/>
              </w:rPr>
            </w:pPr>
            <w:r w:rsidRPr="000F3A41">
              <w:rPr>
                <w:rFonts w:ascii="Times New Roman" w:hAnsi="Times New Roman" w:cs="Times New Roman"/>
              </w:rPr>
              <w:t xml:space="preserve">These changes will have a major impact on training within the Home &amp; Community Health Sector with the disestablishment of Careerforce (along with all other ITO’s).  A summary of the change to training structures, together with an anticipated timeline is </w:t>
            </w:r>
            <w:r w:rsidR="001317A9">
              <w:rPr>
                <w:rFonts w:ascii="Times New Roman" w:hAnsi="Times New Roman" w:cs="Times New Roman"/>
              </w:rPr>
              <w:t xml:space="preserve">here: </w:t>
            </w:r>
          </w:p>
          <w:p w14:paraId="351DA50E" w14:textId="77777777" w:rsidR="001317A9" w:rsidRDefault="001317A9" w:rsidP="004E0574">
            <w:pPr>
              <w:pStyle w:val="NormalWeb"/>
              <w:spacing w:before="0" w:beforeAutospacing="0" w:after="0" w:afterAutospacing="0" w:line="276" w:lineRule="auto"/>
              <w:rPr>
                <w:rFonts w:ascii="Times New Roman" w:hAnsi="Times New Roman" w:cs="Times New Roman"/>
                <w:color w:val="FF0000"/>
              </w:rPr>
            </w:pPr>
          </w:p>
          <w:p w14:paraId="4AEB507F" w14:textId="13607180" w:rsidR="000F3A41" w:rsidRPr="005A5167" w:rsidRDefault="004E7F0F" w:rsidP="004E0574">
            <w:pPr>
              <w:pStyle w:val="NormalWeb"/>
              <w:spacing w:before="0" w:beforeAutospacing="0" w:after="0" w:afterAutospacing="0" w:line="276" w:lineRule="auto"/>
              <w:rPr>
                <w:rFonts w:ascii="Times New Roman" w:hAnsi="Times New Roman" w:cs="Times New Roman"/>
                <w:i/>
                <w:color w:val="FF0000"/>
              </w:rPr>
            </w:pPr>
            <w:hyperlink r:id="rId9" w:history="1">
              <w:r w:rsidR="00ED3AC4" w:rsidRPr="005A5167">
                <w:rPr>
                  <w:rStyle w:val="Hyperlink"/>
                  <w:rFonts w:ascii="Times New Roman" w:hAnsi="Times New Roman" w:cs="Times New Roman"/>
                  <w:color w:val="FF0000"/>
                </w:rPr>
                <w:t>http://www.hcha.org.nz/assets/Uploads/RoVE-Update.pdf</w:t>
              </w:r>
            </w:hyperlink>
            <w:r w:rsidR="001317A9" w:rsidRPr="001317A9">
              <w:rPr>
                <w:color w:val="FF0000"/>
              </w:rPr>
              <w:t xml:space="preserve"> </w:t>
            </w:r>
          </w:p>
          <w:p w14:paraId="2067A8D8" w14:textId="5FED8AE6" w:rsidR="000F3A41" w:rsidRPr="000F3A41" w:rsidRDefault="000F3A41" w:rsidP="00D6721E">
            <w:pPr>
              <w:pStyle w:val="NormalWeb"/>
              <w:spacing w:before="0" w:beforeAutospacing="0" w:after="0" w:afterAutospacing="0" w:line="276" w:lineRule="auto"/>
              <w:jc w:val="center"/>
              <w:rPr>
                <w:rFonts w:ascii="Corbel" w:hAnsi="Corbel" w:cs="Times New Roman"/>
                <w:color w:val="1F497D"/>
              </w:rPr>
            </w:pPr>
          </w:p>
        </w:tc>
      </w:tr>
      <w:tr w:rsidR="0087185D" w14:paraId="4816D23A" w14:textId="77777777" w:rsidTr="001A6450">
        <w:tc>
          <w:tcPr>
            <w:tcW w:w="2722" w:type="dxa"/>
            <w:tcBorders>
              <w:top w:val="single" w:sz="4" w:space="0" w:color="auto"/>
              <w:left w:val="nil"/>
              <w:bottom w:val="single" w:sz="4" w:space="0" w:color="auto"/>
              <w:right w:val="nil"/>
            </w:tcBorders>
            <w:shd w:val="clear" w:color="auto" w:fill="548DD4"/>
            <w:tcMar>
              <w:top w:w="0" w:type="dxa"/>
              <w:left w:w="108" w:type="dxa"/>
              <w:bottom w:w="0" w:type="dxa"/>
              <w:right w:w="108" w:type="dxa"/>
            </w:tcMar>
          </w:tcPr>
          <w:p w14:paraId="0AE5B22F" w14:textId="59223054" w:rsidR="0049521D" w:rsidRPr="00E97B57" w:rsidRDefault="0049521D" w:rsidP="0049521D">
            <w:pPr>
              <w:pStyle w:val="TableofContentsEntry"/>
              <w:spacing w:line="276" w:lineRule="auto"/>
              <w:rPr>
                <w:rStyle w:val="Hyperlink"/>
                <w:rFonts w:ascii="Calibri" w:hAnsi="Calibri"/>
                <w:b/>
                <w:bCs/>
                <w:color w:val="FFFFFF"/>
                <w:sz w:val="36"/>
                <w:szCs w:val="36"/>
              </w:rPr>
            </w:pPr>
            <w:r w:rsidRPr="00E97B57">
              <w:rPr>
                <w:rStyle w:val="Hyperlink"/>
                <w:rFonts w:ascii="Symbol" w:hAnsi="Symbol"/>
                <w:color w:val="FFFFFF"/>
                <w:sz w:val="36"/>
                <w:szCs w:val="36"/>
              </w:rPr>
              <w:t></w:t>
            </w:r>
            <w:r w:rsidRPr="00E97B57">
              <w:rPr>
                <w:rStyle w:val="Hyperlink"/>
                <w:rFonts w:ascii="Times New Roman" w:hAnsi="Times New Roman" w:cs="Times New Roman"/>
                <w:color w:val="FFFFFF"/>
                <w:sz w:val="36"/>
                <w:szCs w:val="36"/>
              </w:rPr>
              <w:t> </w:t>
            </w:r>
            <w:r w:rsidR="00850FE8" w:rsidRPr="00E97B57">
              <w:rPr>
                <w:rStyle w:val="Hyperlink"/>
                <w:rFonts w:ascii="Calibri" w:hAnsi="Calibri"/>
                <w:b/>
                <w:bCs/>
                <w:color w:val="FFFFFF" w:themeColor="background1"/>
                <w:sz w:val="36"/>
                <w:szCs w:val="36"/>
              </w:rPr>
              <w:t>Medication Guidelines</w:t>
            </w:r>
          </w:p>
          <w:p w14:paraId="2372DCD0" w14:textId="77777777" w:rsidR="0087185D" w:rsidRPr="00E97B57" w:rsidRDefault="0087185D" w:rsidP="00BF5B33">
            <w:pPr>
              <w:pStyle w:val="TableofContentsEntry"/>
              <w:spacing w:line="276" w:lineRule="auto"/>
              <w:rPr>
                <w:rStyle w:val="Hyperlink"/>
                <w:rFonts w:ascii="Symbol" w:hAnsi="Symbol"/>
                <w:color w:val="FFFFFF"/>
                <w:sz w:val="36"/>
                <w:szCs w:val="36"/>
              </w:rPr>
            </w:pPr>
          </w:p>
        </w:tc>
        <w:tc>
          <w:tcPr>
            <w:tcW w:w="6638" w:type="dxa"/>
            <w:tcBorders>
              <w:top w:val="single" w:sz="4" w:space="0" w:color="auto"/>
              <w:left w:val="nil"/>
              <w:bottom w:val="single" w:sz="4" w:space="0" w:color="auto"/>
              <w:right w:val="nil"/>
            </w:tcBorders>
            <w:tcMar>
              <w:top w:w="0" w:type="dxa"/>
              <w:left w:w="108" w:type="dxa"/>
              <w:bottom w:w="0" w:type="dxa"/>
              <w:right w:w="108" w:type="dxa"/>
            </w:tcMar>
          </w:tcPr>
          <w:p w14:paraId="01622AF2" w14:textId="7B9C93DD" w:rsidR="0087185D" w:rsidRDefault="00446BE3" w:rsidP="003A6D2B">
            <w:pPr>
              <w:pStyle w:val="TableofContentsEntry"/>
              <w:spacing w:line="276" w:lineRule="auto"/>
              <w:rPr>
                <w:rStyle w:val="Hyperlink"/>
                <w:rFonts w:ascii="Corbel" w:hAnsi="Corbel" w:cstheme="minorHAnsi"/>
                <w:color w:val="1F3864" w:themeColor="accent1" w:themeShade="80"/>
                <w:sz w:val="32"/>
                <w:szCs w:val="32"/>
              </w:rPr>
            </w:pPr>
            <w:r w:rsidRPr="00784051">
              <w:rPr>
                <w:rStyle w:val="Hyperlink"/>
                <w:rFonts w:ascii="Corbel" w:hAnsi="Corbel" w:cstheme="minorHAnsi"/>
                <w:color w:val="1F3864" w:themeColor="accent1" w:themeShade="80"/>
                <w:sz w:val="32"/>
                <w:szCs w:val="32"/>
              </w:rPr>
              <w:t xml:space="preserve">Medication Guidelines </w:t>
            </w:r>
            <w:r w:rsidR="00D70515">
              <w:rPr>
                <w:rStyle w:val="Hyperlink"/>
                <w:rFonts w:ascii="Corbel" w:hAnsi="Corbel" w:cstheme="minorHAnsi"/>
                <w:color w:val="1F3864" w:themeColor="accent1" w:themeShade="80"/>
                <w:sz w:val="32"/>
                <w:szCs w:val="32"/>
              </w:rPr>
              <w:t>Release</w:t>
            </w:r>
          </w:p>
          <w:p w14:paraId="5E98E835" w14:textId="21C72815" w:rsidR="00D70515" w:rsidRDefault="00D70515" w:rsidP="00D70515">
            <w:pPr>
              <w:spacing w:before="100"/>
              <w:contextualSpacing/>
              <w:rPr>
                <w:rFonts w:ascii="Times New Roman" w:hAnsi="Times New Roman" w:cs="Times New Roman"/>
                <w:sz w:val="22"/>
                <w:szCs w:val="22"/>
              </w:rPr>
            </w:pPr>
            <w:r w:rsidRPr="00D70515">
              <w:rPr>
                <w:rFonts w:ascii="Times New Roman" w:hAnsi="Times New Roman" w:cs="Times New Roman"/>
                <w:sz w:val="22"/>
                <w:szCs w:val="22"/>
              </w:rPr>
              <w:t xml:space="preserve">The Ministry of Health published </w:t>
            </w:r>
            <w:r w:rsidRPr="00D250E2">
              <w:rPr>
                <w:rFonts w:ascii="Times New Roman" w:hAnsi="Times New Roman" w:cs="Times New Roman"/>
                <w:i/>
                <w:iCs/>
                <w:sz w:val="22"/>
                <w:szCs w:val="22"/>
              </w:rPr>
              <w:t>The Medication Guidelines for the Home and Community Support Sector</w:t>
            </w:r>
            <w:r w:rsidRPr="00D70515">
              <w:rPr>
                <w:rFonts w:ascii="Times New Roman" w:hAnsi="Times New Roman" w:cs="Times New Roman"/>
                <w:sz w:val="22"/>
                <w:szCs w:val="22"/>
              </w:rPr>
              <w:t xml:space="preserve"> in May 2019.  For a copy of these guidelines see:</w:t>
            </w:r>
          </w:p>
          <w:p w14:paraId="70597422" w14:textId="6B5C1E90" w:rsidR="00D80E91" w:rsidRDefault="00D80E91" w:rsidP="00D70515">
            <w:pPr>
              <w:spacing w:before="100"/>
              <w:contextualSpacing/>
              <w:rPr>
                <w:rFonts w:ascii="Times New Roman" w:hAnsi="Times New Roman" w:cs="Times New Roman"/>
                <w:color w:val="FF0000"/>
                <w:sz w:val="22"/>
                <w:szCs w:val="22"/>
              </w:rPr>
            </w:pPr>
          </w:p>
          <w:p w14:paraId="11CB65A8" w14:textId="2CED2C3F" w:rsidR="00D70515" w:rsidRPr="00D80E91" w:rsidRDefault="00FD3852" w:rsidP="00D70515">
            <w:pPr>
              <w:spacing w:before="100"/>
              <w:contextualSpacing/>
              <w:rPr>
                <w:rFonts w:ascii="Times New Roman" w:hAnsi="Times New Roman" w:cs="Times New Roman"/>
                <w:color w:val="FF0000"/>
                <w:sz w:val="22"/>
                <w:szCs w:val="22"/>
              </w:rPr>
            </w:pPr>
            <w:hyperlink r:id="rId10" w:history="1">
              <w:r w:rsidR="00D80E91" w:rsidRPr="00D80E91">
                <w:rPr>
                  <w:rStyle w:val="Hyperlink"/>
                  <w:rFonts w:ascii="Times New Roman" w:hAnsi="Times New Roman" w:cs="Times New Roman"/>
                  <w:color w:val="FF0000"/>
                  <w:sz w:val="22"/>
                  <w:szCs w:val="22"/>
                </w:rPr>
                <w:t>https://www.health.govt.nz/system/files/documents/publications/medication-guidelines-home-community-support-services-sector-may19.pdf</w:t>
              </w:r>
            </w:hyperlink>
          </w:p>
          <w:p w14:paraId="4CC3DCCB" w14:textId="77777777" w:rsidR="00D70515" w:rsidRPr="00D70515" w:rsidRDefault="00D70515" w:rsidP="00D70515">
            <w:pPr>
              <w:spacing w:before="100"/>
              <w:contextualSpacing/>
              <w:rPr>
                <w:rFonts w:ascii="Times New Roman" w:hAnsi="Times New Roman" w:cs="Times New Roman"/>
                <w:sz w:val="22"/>
                <w:szCs w:val="22"/>
              </w:rPr>
            </w:pPr>
          </w:p>
          <w:p w14:paraId="056CDB53" w14:textId="34C8E06E" w:rsidR="00E86271" w:rsidRDefault="00E86271" w:rsidP="00D70515">
            <w:pPr>
              <w:spacing w:before="100"/>
              <w:contextualSpacing/>
              <w:rPr>
                <w:rFonts w:ascii="Times New Roman" w:hAnsi="Times New Roman" w:cs="Times New Roman"/>
                <w:sz w:val="22"/>
                <w:szCs w:val="22"/>
              </w:rPr>
            </w:pPr>
            <w:r w:rsidRPr="00D70515">
              <w:rPr>
                <w:rFonts w:ascii="Times New Roman" w:hAnsi="Times New Roman" w:cs="Times New Roman"/>
                <w:sz w:val="22"/>
                <w:szCs w:val="22"/>
              </w:rPr>
              <w:t xml:space="preserve">Providers </w:t>
            </w:r>
            <w:r w:rsidR="00D70515">
              <w:rPr>
                <w:rFonts w:ascii="Times New Roman" w:hAnsi="Times New Roman" w:cs="Times New Roman"/>
                <w:sz w:val="22"/>
                <w:szCs w:val="22"/>
              </w:rPr>
              <w:t xml:space="preserve">have </w:t>
            </w:r>
            <w:r w:rsidRPr="00D70515">
              <w:rPr>
                <w:rFonts w:ascii="Times New Roman" w:hAnsi="Times New Roman" w:cs="Times New Roman"/>
                <w:sz w:val="22"/>
                <w:szCs w:val="22"/>
              </w:rPr>
              <w:t xml:space="preserve">expressed their general support for the guidelines but noted their concern </w:t>
            </w:r>
            <w:r w:rsidR="00AD12BB" w:rsidRPr="00D70515">
              <w:rPr>
                <w:rFonts w:ascii="Times New Roman" w:hAnsi="Times New Roman" w:cs="Times New Roman"/>
                <w:sz w:val="22"/>
                <w:szCs w:val="22"/>
              </w:rPr>
              <w:t>regarding</w:t>
            </w:r>
            <w:r w:rsidRPr="00D70515">
              <w:rPr>
                <w:rFonts w:ascii="Times New Roman" w:hAnsi="Times New Roman" w:cs="Times New Roman"/>
                <w:sz w:val="22"/>
                <w:szCs w:val="22"/>
              </w:rPr>
              <w:t xml:space="preserve"> the potential cost implications and the need for a planned approach as to implementation</w:t>
            </w:r>
            <w:r w:rsidR="00D70515">
              <w:rPr>
                <w:rFonts w:ascii="Times New Roman" w:hAnsi="Times New Roman" w:cs="Times New Roman"/>
                <w:sz w:val="22"/>
                <w:szCs w:val="22"/>
              </w:rPr>
              <w:t>.</w:t>
            </w:r>
          </w:p>
          <w:p w14:paraId="1956B61A" w14:textId="77777777" w:rsidR="00DB0319" w:rsidRPr="00D70515" w:rsidRDefault="00DB0319" w:rsidP="00D70515">
            <w:pPr>
              <w:spacing w:before="100"/>
              <w:contextualSpacing/>
              <w:rPr>
                <w:rFonts w:ascii="Times New Roman" w:hAnsi="Times New Roman" w:cs="Times New Roman"/>
                <w:sz w:val="22"/>
                <w:szCs w:val="22"/>
              </w:rPr>
            </w:pPr>
          </w:p>
          <w:p w14:paraId="088DEF02" w14:textId="68F9B763" w:rsidR="00E86271" w:rsidRPr="002341FF" w:rsidRDefault="00D70515" w:rsidP="002341FF">
            <w:pPr>
              <w:spacing w:before="100"/>
              <w:contextualSpacing/>
              <w:rPr>
                <w:rStyle w:val="Hyperlink"/>
                <w:rFonts w:ascii="Times New Roman" w:hAnsi="Times New Roman" w:cs="Times New Roman"/>
                <w:color w:val="auto"/>
                <w:sz w:val="22"/>
                <w:szCs w:val="22"/>
              </w:rPr>
            </w:pPr>
            <w:r w:rsidRPr="00DB0319">
              <w:rPr>
                <w:rFonts w:ascii="Times New Roman" w:hAnsi="Times New Roman" w:cs="Times New Roman"/>
                <w:sz w:val="22"/>
                <w:szCs w:val="22"/>
              </w:rPr>
              <w:t>The Ministry has drafted a memorandum regarding the implementation of these guidelines and is currently consulting with the Joint Working Group prior to finalization and release.</w:t>
            </w:r>
          </w:p>
        </w:tc>
      </w:tr>
      <w:tr w:rsidR="009B3445" w14:paraId="148B7569" w14:textId="77777777" w:rsidTr="001A6450">
        <w:tc>
          <w:tcPr>
            <w:tcW w:w="2722" w:type="dxa"/>
            <w:tcBorders>
              <w:top w:val="single" w:sz="4" w:space="0" w:color="auto"/>
              <w:left w:val="nil"/>
              <w:bottom w:val="single" w:sz="4" w:space="0" w:color="auto"/>
              <w:right w:val="nil"/>
            </w:tcBorders>
            <w:shd w:val="clear" w:color="auto" w:fill="548DD4"/>
            <w:tcMar>
              <w:top w:w="0" w:type="dxa"/>
              <w:left w:w="108" w:type="dxa"/>
              <w:bottom w:w="0" w:type="dxa"/>
              <w:right w:w="108" w:type="dxa"/>
            </w:tcMar>
          </w:tcPr>
          <w:p w14:paraId="6E0E3B29" w14:textId="59B6E954" w:rsidR="00850FE8" w:rsidRPr="00E97B57" w:rsidRDefault="00850FE8" w:rsidP="00850FE8">
            <w:pPr>
              <w:pStyle w:val="TableofContentsEntry"/>
              <w:spacing w:line="276" w:lineRule="auto"/>
              <w:rPr>
                <w:rStyle w:val="Hyperlink"/>
                <w:rFonts w:ascii="Calibri" w:hAnsi="Calibri"/>
                <w:b/>
                <w:bCs/>
                <w:color w:val="FFFFFF"/>
                <w:sz w:val="36"/>
                <w:szCs w:val="36"/>
              </w:rPr>
            </w:pPr>
            <w:r w:rsidRPr="00E97B57">
              <w:rPr>
                <w:rStyle w:val="Hyperlink"/>
                <w:rFonts w:ascii="Symbol" w:hAnsi="Symbol"/>
                <w:color w:val="FFFFFF"/>
                <w:sz w:val="36"/>
                <w:szCs w:val="36"/>
              </w:rPr>
              <w:lastRenderedPageBreak/>
              <w:t></w:t>
            </w:r>
            <w:r w:rsidRPr="00E97B57">
              <w:rPr>
                <w:rStyle w:val="Hyperlink"/>
                <w:rFonts w:ascii="Times New Roman" w:hAnsi="Times New Roman" w:cs="Times New Roman"/>
                <w:color w:val="FFFFFF"/>
                <w:sz w:val="36"/>
                <w:szCs w:val="36"/>
              </w:rPr>
              <w:t> </w:t>
            </w:r>
            <w:r w:rsidR="002E0989" w:rsidRPr="00E97B57">
              <w:rPr>
                <w:rStyle w:val="Hyperlink"/>
                <w:rFonts w:ascii="Calibri" w:hAnsi="Calibri"/>
                <w:b/>
                <w:bCs/>
                <w:color w:val="FFFFFF" w:themeColor="background1"/>
                <w:sz w:val="36"/>
                <w:szCs w:val="36"/>
              </w:rPr>
              <w:t>National Service Specification</w:t>
            </w:r>
          </w:p>
          <w:p w14:paraId="49BD989A" w14:textId="77777777" w:rsidR="009B3445" w:rsidRPr="00E97B57" w:rsidRDefault="009B3445" w:rsidP="00BF5B33">
            <w:pPr>
              <w:pStyle w:val="TableofContentsEntry"/>
              <w:spacing w:line="276" w:lineRule="auto"/>
              <w:rPr>
                <w:rStyle w:val="Hyperlink"/>
                <w:rFonts w:ascii="Symbol" w:hAnsi="Symbol"/>
                <w:color w:val="FFFFFF"/>
                <w:sz w:val="36"/>
                <w:szCs w:val="36"/>
              </w:rPr>
            </w:pPr>
          </w:p>
        </w:tc>
        <w:tc>
          <w:tcPr>
            <w:tcW w:w="6638" w:type="dxa"/>
            <w:tcBorders>
              <w:top w:val="single" w:sz="4" w:space="0" w:color="auto"/>
              <w:left w:val="nil"/>
              <w:bottom w:val="single" w:sz="4" w:space="0" w:color="auto"/>
              <w:right w:val="nil"/>
            </w:tcBorders>
            <w:tcMar>
              <w:top w:w="0" w:type="dxa"/>
              <w:left w:w="108" w:type="dxa"/>
              <w:bottom w:w="0" w:type="dxa"/>
              <w:right w:w="108" w:type="dxa"/>
            </w:tcMar>
          </w:tcPr>
          <w:p w14:paraId="45920484" w14:textId="77777777" w:rsidR="009B3445" w:rsidRPr="00784051" w:rsidRDefault="00E55E5F" w:rsidP="003A6D2B">
            <w:pPr>
              <w:pStyle w:val="TableofContentsEntry"/>
              <w:spacing w:line="276" w:lineRule="auto"/>
              <w:rPr>
                <w:rStyle w:val="Hyperlink"/>
                <w:rFonts w:ascii="Corbel" w:hAnsi="Corbel" w:cstheme="minorHAnsi"/>
                <w:color w:val="1F3864" w:themeColor="accent1" w:themeShade="80"/>
                <w:sz w:val="32"/>
                <w:szCs w:val="32"/>
              </w:rPr>
            </w:pPr>
            <w:r w:rsidRPr="00784051">
              <w:rPr>
                <w:rStyle w:val="Hyperlink"/>
                <w:rFonts w:ascii="Corbel" w:hAnsi="Corbel" w:cstheme="minorHAnsi"/>
                <w:color w:val="1F3864" w:themeColor="accent1" w:themeShade="80"/>
                <w:sz w:val="32"/>
                <w:szCs w:val="32"/>
              </w:rPr>
              <w:t>Development of a National Service Specification</w:t>
            </w:r>
          </w:p>
          <w:p w14:paraId="34C47298" w14:textId="2261102A" w:rsidR="00D20279" w:rsidRDefault="00FA07E7" w:rsidP="00FA07E7">
            <w:pPr>
              <w:contextualSpacing/>
              <w:rPr>
                <w:rFonts w:ascii="Times New Roman" w:hAnsi="Times New Roman" w:cs="Times New Roman"/>
                <w:sz w:val="22"/>
                <w:szCs w:val="22"/>
              </w:rPr>
            </w:pPr>
            <w:r w:rsidRPr="00170F53">
              <w:rPr>
                <w:rFonts w:ascii="Times New Roman" w:hAnsi="Times New Roman" w:cs="Times New Roman"/>
                <w:sz w:val="22"/>
                <w:szCs w:val="22"/>
              </w:rPr>
              <w:t xml:space="preserve">DHB’s are leading </w:t>
            </w:r>
            <w:r w:rsidR="00D20279" w:rsidRPr="00170F53">
              <w:rPr>
                <w:rFonts w:ascii="Times New Roman" w:hAnsi="Times New Roman" w:cs="Times New Roman"/>
                <w:sz w:val="22"/>
                <w:szCs w:val="22"/>
              </w:rPr>
              <w:t xml:space="preserve">work on developing </w:t>
            </w:r>
            <w:r w:rsidR="00E86271">
              <w:rPr>
                <w:rFonts w:ascii="Times New Roman" w:hAnsi="Times New Roman" w:cs="Times New Roman"/>
                <w:sz w:val="22"/>
                <w:szCs w:val="22"/>
              </w:rPr>
              <w:t xml:space="preserve">a </w:t>
            </w:r>
            <w:r w:rsidR="00D20279" w:rsidRPr="00170F53">
              <w:rPr>
                <w:rFonts w:ascii="Times New Roman" w:hAnsi="Times New Roman" w:cs="Times New Roman"/>
                <w:sz w:val="22"/>
                <w:szCs w:val="22"/>
              </w:rPr>
              <w:t xml:space="preserve">National Service Specification and core case-mix model for HCSS.  The first workshop was held on </w:t>
            </w:r>
            <w:r w:rsidR="00E6057E">
              <w:rPr>
                <w:rFonts w:ascii="Times New Roman" w:hAnsi="Times New Roman" w:cs="Times New Roman"/>
                <w:sz w:val="22"/>
                <w:szCs w:val="22"/>
              </w:rPr>
              <w:t>4</w:t>
            </w:r>
            <w:r w:rsidR="00D20279" w:rsidRPr="00170F53">
              <w:rPr>
                <w:rFonts w:ascii="Times New Roman" w:hAnsi="Times New Roman" w:cs="Times New Roman"/>
                <w:sz w:val="22"/>
                <w:szCs w:val="22"/>
              </w:rPr>
              <w:t xml:space="preserve"> July</w:t>
            </w:r>
            <w:r w:rsidR="00E6057E">
              <w:rPr>
                <w:rFonts w:ascii="Times New Roman" w:hAnsi="Times New Roman" w:cs="Times New Roman"/>
                <w:sz w:val="22"/>
                <w:szCs w:val="22"/>
              </w:rPr>
              <w:t xml:space="preserve"> 2019</w:t>
            </w:r>
            <w:r w:rsidR="00D20279" w:rsidRPr="00170F53">
              <w:rPr>
                <w:rFonts w:ascii="Times New Roman" w:hAnsi="Times New Roman" w:cs="Times New Roman"/>
                <w:sz w:val="22"/>
                <w:szCs w:val="22"/>
              </w:rPr>
              <w:t xml:space="preserve">. </w:t>
            </w:r>
          </w:p>
          <w:p w14:paraId="5CFFC7A2" w14:textId="77777777" w:rsidR="00024FCB" w:rsidRPr="00170F53" w:rsidRDefault="00024FCB" w:rsidP="00FA07E7">
            <w:pPr>
              <w:contextualSpacing/>
              <w:rPr>
                <w:rFonts w:ascii="Times New Roman" w:hAnsi="Times New Roman" w:cs="Times New Roman"/>
                <w:sz w:val="22"/>
                <w:szCs w:val="22"/>
              </w:rPr>
            </w:pPr>
          </w:p>
          <w:p w14:paraId="6F6D0151" w14:textId="77777777" w:rsidR="00D20279" w:rsidRPr="00170F53" w:rsidRDefault="00D20279" w:rsidP="008F51BE">
            <w:pPr>
              <w:contextualSpacing/>
              <w:rPr>
                <w:rFonts w:ascii="Times New Roman" w:hAnsi="Times New Roman" w:cs="Times New Roman"/>
                <w:sz w:val="22"/>
                <w:szCs w:val="22"/>
              </w:rPr>
            </w:pPr>
            <w:r w:rsidRPr="00170F53">
              <w:rPr>
                <w:rFonts w:ascii="Times New Roman" w:hAnsi="Times New Roman" w:cs="Times New Roman"/>
                <w:sz w:val="22"/>
                <w:szCs w:val="22"/>
              </w:rPr>
              <w:t>Four working groups (including experts from DHBs and Providers) have been established to agree content and draft wording in specific areas to be included in the draft:</w:t>
            </w:r>
          </w:p>
          <w:p w14:paraId="43D860EF" w14:textId="77777777" w:rsidR="00D20279" w:rsidRPr="00170F53" w:rsidRDefault="00D20279" w:rsidP="008F51BE">
            <w:pPr>
              <w:pStyle w:val="ListParagraph"/>
              <w:numPr>
                <w:ilvl w:val="0"/>
                <w:numId w:val="9"/>
              </w:numPr>
              <w:contextualSpacing/>
              <w:rPr>
                <w:rFonts w:ascii="Times New Roman" w:hAnsi="Times New Roman" w:cs="Times New Roman"/>
              </w:rPr>
            </w:pPr>
            <w:r w:rsidRPr="00170F53">
              <w:rPr>
                <w:rFonts w:ascii="Times New Roman" w:hAnsi="Times New Roman" w:cs="Times New Roman"/>
                <w:bCs/>
                <w:color w:val="000000"/>
              </w:rPr>
              <w:t xml:space="preserve">Service Allocation tool / High cost packages;  </w:t>
            </w:r>
          </w:p>
          <w:p w14:paraId="5F0B88DD" w14:textId="0BAF0FED" w:rsidR="00D20279" w:rsidRPr="00170F53" w:rsidRDefault="00D20279" w:rsidP="008F51BE">
            <w:pPr>
              <w:pStyle w:val="ListParagraph"/>
              <w:numPr>
                <w:ilvl w:val="0"/>
                <w:numId w:val="9"/>
              </w:numPr>
              <w:contextualSpacing/>
              <w:rPr>
                <w:rFonts w:ascii="Times New Roman" w:hAnsi="Times New Roman" w:cs="Times New Roman"/>
              </w:rPr>
            </w:pPr>
            <w:r w:rsidRPr="00170F53">
              <w:rPr>
                <w:rFonts w:ascii="Times New Roman" w:hAnsi="Times New Roman" w:cs="Times New Roman"/>
                <w:bCs/>
                <w:color w:val="000000"/>
              </w:rPr>
              <w:t>Service coordination/Case Management and complex case management/</w:t>
            </w:r>
            <w:r w:rsidR="00CC455C">
              <w:rPr>
                <w:rFonts w:ascii="Times New Roman" w:hAnsi="Times New Roman" w:cs="Times New Roman"/>
                <w:bCs/>
                <w:color w:val="000000"/>
              </w:rPr>
              <w:t>d</w:t>
            </w:r>
            <w:r w:rsidRPr="00170F53">
              <w:rPr>
                <w:rFonts w:ascii="Times New Roman" w:hAnsi="Times New Roman" w:cs="Times New Roman"/>
                <w:bCs/>
                <w:color w:val="000000"/>
              </w:rPr>
              <w:t>ementia framework - navigator role;</w:t>
            </w:r>
          </w:p>
          <w:p w14:paraId="588E7088" w14:textId="50AB8A76" w:rsidR="00D20279" w:rsidRPr="00170F53" w:rsidRDefault="00D20279" w:rsidP="008F51BE">
            <w:pPr>
              <w:pStyle w:val="ListParagraph"/>
              <w:numPr>
                <w:ilvl w:val="0"/>
                <w:numId w:val="9"/>
              </w:numPr>
              <w:contextualSpacing/>
              <w:rPr>
                <w:rFonts w:ascii="Times New Roman" w:hAnsi="Times New Roman" w:cs="Times New Roman"/>
              </w:rPr>
            </w:pPr>
            <w:r w:rsidRPr="00170F53">
              <w:rPr>
                <w:rFonts w:ascii="Times New Roman" w:hAnsi="Times New Roman" w:cs="Times New Roman"/>
                <w:bCs/>
                <w:color w:val="000000"/>
              </w:rPr>
              <w:t>Casemix algorithm/</w:t>
            </w:r>
            <w:r w:rsidR="00E86271">
              <w:rPr>
                <w:rFonts w:ascii="Times New Roman" w:hAnsi="Times New Roman" w:cs="Times New Roman"/>
                <w:bCs/>
                <w:color w:val="000000"/>
              </w:rPr>
              <w:t>r</w:t>
            </w:r>
            <w:r w:rsidRPr="00170F53">
              <w:rPr>
                <w:rFonts w:ascii="Times New Roman" w:hAnsi="Times New Roman" w:cs="Times New Roman"/>
                <w:bCs/>
                <w:color w:val="000000"/>
              </w:rPr>
              <w:t>eview tool and regime;</w:t>
            </w:r>
          </w:p>
          <w:p w14:paraId="6B8000F9" w14:textId="6271EE81" w:rsidR="00D20279" w:rsidRPr="00170F53" w:rsidRDefault="00D20279" w:rsidP="008F51BE">
            <w:pPr>
              <w:pStyle w:val="ListParagraph"/>
              <w:numPr>
                <w:ilvl w:val="0"/>
                <w:numId w:val="9"/>
              </w:numPr>
              <w:contextualSpacing/>
              <w:rPr>
                <w:rFonts w:ascii="Times New Roman" w:hAnsi="Times New Roman" w:cs="Times New Roman"/>
              </w:rPr>
            </w:pPr>
            <w:r w:rsidRPr="00170F53">
              <w:rPr>
                <w:rFonts w:ascii="Times New Roman" w:hAnsi="Times New Roman" w:cs="Times New Roman"/>
                <w:bCs/>
                <w:color w:val="000000"/>
              </w:rPr>
              <w:t>Equity/ framing of interRAI questions and exploring methodologies to bridge equity gaps</w:t>
            </w:r>
            <w:r w:rsidR="007D593B">
              <w:rPr>
                <w:rFonts w:ascii="Times New Roman" w:hAnsi="Times New Roman" w:cs="Times New Roman"/>
                <w:bCs/>
                <w:color w:val="000000"/>
              </w:rPr>
              <w:t>.</w:t>
            </w:r>
          </w:p>
          <w:p w14:paraId="487D0716" w14:textId="77777777" w:rsidR="00F25369" w:rsidRDefault="00F25369" w:rsidP="00F25369">
            <w:pPr>
              <w:contextualSpacing/>
            </w:pPr>
          </w:p>
          <w:p w14:paraId="5C379B95" w14:textId="081DE78D" w:rsidR="00D20279" w:rsidRDefault="00D20279" w:rsidP="00784051">
            <w:pPr>
              <w:contextualSpacing/>
              <w:rPr>
                <w:rFonts w:ascii="Times New Roman" w:hAnsi="Times New Roman" w:cs="Times New Roman"/>
                <w:sz w:val="22"/>
                <w:szCs w:val="22"/>
              </w:rPr>
            </w:pPr>
            <w:r w:rsidRPr="00024FCB">
              <w:rPr>
                <w:rFonts w:ascii="Times New Roman" w:hAnsi="Times New Roman" w:cs="Times New Roman"/>
                <w:sz w:val="22"/>
                <w:szCs w:val="22"/>
              </w:rPr>
              <w:t xml:space="preserve">The next workshop will be held in </w:t>
            </w:r>
            <w:r w:rsidR="005A0CF1">
              <w:rPr>
                <w:rFonts w:ascii="Times New Roman" w:hAnsi="Times New Roman" w:cs="Times New Roman"/>
                <w:sz w:val="22"/>
                <w:szCs w:val="22"/>
              </w:rPr>
              <w:t>mid-</w:t>
            </w:r>
            <w:r w:rsidRPr="00024FCB">
              <w:rPr>
                <w:rFonts w:ascii="Times New Roman" w:hAnsi="Times New Roman" w:cs="Times New Roman"/>
                <w:sz w:val="22"/>
                <w:szCs w:val="22"/>
              </w:rPr>
              <w:t xml:space="preserve">October to agree quality and outcome measures and any other outstanding content.  The working group process will be </w:t>
            </w:r>
            <w:r w:rsidR="003C58E0" w:rsidRPr="00024FCB">
              <w:rPr>
                <w:rFonts w:ascii="Times New Roman" w:hAnsi="Times New Roman" w:cs="Times New Roman"/>
                <w:sz w:val="22"/>
                <w:szCs w:val="22"/>
              </w:rPr>
              <w:t>repeated,</w:t>
            </w:r>
            <w:r w:rsidRPr="00024FCB">
              <w:rPr>
                <w:rFonts w:ascii="Times New Roman" w:hAnsi="Times New Roman" w:cs="Times New Roman"/>
                <w:sz w:val="22"/>
                <w:szCs w:val="22"/>
              </w:rPr>
              <w:t xml:space="preserve"> and a </w:t>
            </w:r>
            <w:r w:rsidR="00FF799C">
              <w:rPr>
                <w:rFonts w:ascii="Times New Roman" w:hAnsi="Times New Roman" w:cs="Times New Roman"/>
                <w:sz w:val="22"/>
                <w:szCs w:val="22"/>
              </w:rPr>
              <w:t>second</w:t>
            </w:r>
            <w:r w:rsidRPr="00024FCB">
              <w:rPr>
                <w:rFonts w:ascii="Times New Roman" w:hAnsi="Times New Roman" w:cs="Times New Roman"/>
                <w:sz w:val="22"/>
                <w:szCs w:val="22"/>
              </w:rPr>
              <w:t xml:space="preserve"> version of the document will be developed. </w:t>
            </w:r>
          </w:p>
          <w:p w14:paraId="09942CE8" w14:textId="6C999D62" w:rsidR="00784051" w:rsidRPr="00784051" w:rsidRDefault="00784051" w:rsidP="00784051">
            <w:pPr>
              <w:contextualSpacing/>
              <w:rPr>
                <w:rStyle w:val="Hyperlink"/>
                <w:rFonts w:ascii="Times New Roman" w:hAnsi="Times New Roman" w:cs="Times New Roman"/>
                <w:color w:val="auto"/>
                <w:sz w:val="22"/>
                <w:szCs w:val="22"/>
              </w:rPr>
            </w:pPr>
          </w:p>
        </w:tc>
      </w:tr>
      <w:tr w:rsidR="00CA1CD3" w14:paraId="1B4B743C" w14:textId="77777777" w:rsidTr="001A6450">
        <w:tc>
          <w:tcPr>
            <w:tcW w:w="2722" w:type="dxa"/>
            <w:tcBorders>
              <w:top w:val="single" w:sz="4" w:space="0" w:color="auto"/>
              <w:left w:val="nil"/>
              <w:bottom w:val="single" w:sz="4" w:space="0" w:color="auto"/>
              <w:right w:val="nil"/>
            </w:tcBorders>
            <w:shd w:val="clear" w:color="auto" w:fill="548DD4"/>
            <w:tcMar>
              <w:top w:w="0" w:type="dxa"/>
              <w:left w:w="108" w:type="dxa"/>
              <w:bottom w:w="0" w:type="dxa"/>
              <w:right w:w="108" w:type="dxa"/>
            </w:tcMar>
          </w:tcPr>
          <w:p w14:paraId="66B8D084" w14:textId="57D32172" w:rsidR="00CA1CD3" w:rsidRPr="00E97B57" w:rsidRDefault="00D8094E" w:rsidP="00094D41">
            <w:pPr>
              <w:pStyle w:val="TableofContentsEntry"/>
              <w:spacing w:line="276" w:lineRule="auto"/>
              <w:rPr>
                <w:rStyle w:val="Hyperlink"/>
                <w:rFonts w:ascii="Symbol" w:hAnsi="Symbol"/>
                <w:color w:val="FFFFFF"/>
                <w:sz w:val="36"/>
                <w:szCs w:val="36"/>
              </w:rPr>
            </w:pPr>
            <w:r w:rsidRPr="00E97B57">
              <w:rPr>
                <w:rStyle w:val="Hyperlink"/>
                <w:rFonts w:ascii="Symbol" w:hAnsi="Symbol"/>
                <w:color w:val="FFFFFF"/>
                <w:sz w:val="36"/>
                <w:szCs w:val="36"/>
              </w:rPr>
              <w:t></w:t>
            </w:r>
            <w:r w:rsidRPr="00E97B57">
              <w:rPr>
                <w:rStyle w:val="Hyperlink"/>
                <w:rFonts w:ascii="Times New Roman" w:hAnsi="Times New Roman" w:cs="Times New Roman"/>
                <w:color w:val="FFFFFF"/>
                <w:sz w:val="36"/>
                <w:szCs w:val="36"/>
              </w:rPr>
              <w:t> </w:t>
            </w:r>
            <w:r w:rsidR="00094D41" w:rsidRPr="00E97B57">
              <w:rPr>
                <w:rStyle w:val="Hyperlink"/>
                <w:rFonts w:ascii="Calibri" w:hAnsi="Calibri"/>
                <w:b/>
                <w:bCs/>
                <w:color w:val="FFFFFF" w:themeColor="background1"/>
                <w:sz w:val="36"/>
                <w:szCs w:val="36"/>
              </w:rPr>
              <w:t>Health &amp; Disability Review</w:t>
            </w:r>
          </w:p>
        </w:tc>
        <w:tc>
          <w:tcPr>
            <w:tcW w:w="6638" w:type="dxa"/>
            <w:tcBorders>
              <w:top w:val="single" w:sz="4" w:space="0" w:color="auto"/>
              <w:left w:val="nil"/>
              <w:bottom w:val="single" w:sz="4" w:space="0" w:color="auto"/>
              <w:right w:val="nil"/>
            </w:tcBorders>
            <w:tcMar>
              <w:top w:w="0" w:type="dxa"/>
              <w:left w:w="108" w:type="dxa"/>
              <w:bottom w:w="0" w:type="dxa"/>
              <w:right w:w="108" w:type="dxa"/>
            </w:tcMar>
          </w:tcPr>
          <w:p w14:paraId="746C3CB9" w14:textId="77777777" w:rsidR="00CA1CD3" w:rsidRPr="00D16DAD" w:rsidRDefault="00D13587" w:rsidP="004B5752">
            <w:pPr>
              <w:pStyle w:val="TableofContentsEntry"/>
              <w:spacing w:line="276" w:lineRule="auto"/>
              <w:ind w:left="0" w:firstLine="0"/>
              <w:rPr>
                <w:rFonts w:ascii="Corbel" w:hAnsi="Corbel"/>
                <w:color w:val="2F5496" w:themeColor="accent1" w:themeShade="BF"/>
                <w:sz w:val="32"/>
                <w:szCs w:val="32"/>
              </w:rPr>
            </w:pPr>
            <w:r w:rsidRPr="00D16DAD">
              <w:rPr>
                <w:rFonts w:ascii="Corbel" w:hAnsi="Corbel"/>
                <w:color w:val="2F5496" w:themeColor="accent1" w:themeShade="BF"/>
                <w:sz w:val="32"/>
                <w:szCs w:val="32"/>
              </w:rPr>
              <w:t>New Zealand Health and Disability System Review</w:t>
            </w:r>
          </w:p>
          <w:p w14:paraId="45BF7C4E" w14:textId="66854311" w:rsidR="00D70515" w:rsidRPr="00D70515" w:rsidRDefault="00D70515" w:rsidP="00D70515">
            <w:pPr>
              <w:shd w:val="clear" w:color="auto" w:fill="FFFFFF"/>
              <w:spacing w:after="180"/>
              <w:rPr>
                <w:rFonts w:ascii="Times New Roman" w:eastAsia="Times New Roman" w:hAnsi="Times New Roman" w:cs="Times New Roman"/>
                <w:sz w:val="22"/>
                <w:szCs w:val="22"/>
                <w:lang w:val="en-NZ" w:eastAsia="en-NZ"/>
              </w:rPr>
            </w:pPr>
            <w:r w:rsidRPr="00D70515">
              <w:rPr>
                <w:rFonts w:ascii="Times New Roman" w:eastAsia="Times New Roman" w:hAnsi="Times New Roman" w:cs="Times New Roman"/>
                <w:sz w:val="22"/>
                <w:szCs w:val="22"/>
                <w:lang w:val="en-NZ" w:eastAsia="en-NZ"/>
              </w:rPr>
              <w:t>The Health and Disability System Review Panel relea</w:t>
            </w:r>
            <w:r>
              <w:rPr>
                <w:rFonts w:ascii="Times New Roman" w:eastAsia="Times New Roman" w:hAnsi="Times New Roman" w:cs="Times New Roman"/>
                <w:sz w:val="22"/>
                <w:szCs w:val="22"/>
                <w:lang w:val="en-NZ" w:eastAsia="en-NZ"/>
              </w:rPr>
              <w:t>sed</w:t>
            </w:r>
            <w:r w:rsidRPr="00D70515">
              <w:rPr>
                <w:rFonts w:ascii="Times New Roman" w:eastAsia="Times New Roman" w:hAnsi="Times New Roman" w:cs="Times New Roman"/>
                <w:sz w:val="22"/>
                <w:szCs w:val="22"/>
                <w:lang w:val="en-NZ" w:eastAsia="en-NZ"/>
              </w:rPr>
              <w:t xml:space="preserve"> its interim report</w:t>
            </w:r>
            <w:r>
              <w:rPr>
                <w:rFonts w:ascii="Times New Roman" w:eastAsia="Times New Roman" w:hAnsi="Times New Roman" w:cs="Times New Roman"/>
                <w:sz w:val="22"/>
                <w:szCs w:val="22"/>
                <w:lang w:val="en-NZ" w:eastAsia="en-NZ"/>
              </w:rPr>
              <w:t xml:space="preserve"> on </w:t>
            </w:r>
            <w:r w:rsidR="00D250E2">
              <w:rPr>
                <w:rFonts w:ascii="Times New Roman" w:eastAsia="Times New Roman" w:hAnsi="Times New Roman" w:cs="Times New Roman"/>
                <w:sz w:val="22"/>
                <w:szCs w:val="22"/>
                <w:lang w:val="en-NZ" w:eastAsia="en-NZ"/>
              </w:rPr>
              <w:t>3</w:t>
            </w:r>
            <w:r w:rsidR="005F45E5">
              <w:rPr>
                <w:rFonts w:ascii="Times New Roman" w:eastAsia="Times New Roman" w:hAnsi="Times New Roman" w:cs="Times New Roman"/>
                <w:sz w:val="22"/>
                <w:szCs w:val="22"/>
                <w:lang w:val="en-NZ" w:eastAsia="en-NZ"/>
              </w:rPr>
              <w:t xml:space="preserve"> </w:t>
            </w:r>
            <w:r w:rsidR="00D250E2">
              <w:rPr>
                <w:rFonts w:ascii="Times New Roman" w:eastAsia="Times New Roman" w:hAnsi="Times New Roman" w:cs="Times New Roman"/>
                <w:sz w:val="22"/>
                <w:szCs w:val="22"/>
                <w:lang w:val="en-NZ" w:eastAsia="en-NZ"/>
              </w:rPr>
              <w:t xml:space="preserve">September 2019.  </w:t>
            </w:r>
          </w:p>
          <w:p w14:paraId="3FB3F31F" w14:textId="4BFAA3DF" w:rsidR="00D70515" w:rsidRDefault="00D70515" w:rsidP="00D70515">
            <w:pPr>
              <w:shd w:val="clear" w:color="auto" w:fill="FFFFFF"/>
              <w:spacing w:after="180"/>
              <w:rPr>
                <w:rFonts w:ascii="Times New Roman" w:eastAsia="Times New Roman" w:hAnsi="Times New Roman" w:cs="Times New Roman"/>
                <w:sz w:val="22"/>
                <w:szCs w:val="22"/>
                <w:lang w:val="en-NZ" w:eastAsia="en-NZ"/>
              </w:rPr>
            </w:pPr>
            <w:r w:rsidRPr="00D70515">
              <w:rPr>
                <w:rFonts w:ascii="Times New Roman" w:eastAsia="Times New Roman" w:hAnsi="Times New Roman" w:cs="Times New Roman"/>
                <w:sz w:val="22"/>
                <w:szCs w:val="22"/>
                <w:lang w:val="en-NZ" w:eastAsia="en-NZ"/>
              </w:rPr>
              <w:t xml:space="preserve">The report </w:t>
            </w:r>
            <w:r w:rsidR="00D250E2">
              <w:rPr>
                <w:rFonts w:ascii="Times New Roman" w:eastAsia="Times New Roman" w:hAnsi="Times New Roman" w:cs="Times New Roman"/>
                <w:sz w:val="22"/>
                <w:szCs w:val="22"/>
                <w:lang w:val="en-NZ" w:eastAsia="en-NZ"/>
              </w:rPr>
              <w:t xml:space="preserve">states that it </w:t>
            </w:r>
            <w:r w:rsidRPr="00D70515">
              <w:rPr>
                <w:rFonts w:ascii="Times New Roman" w:eastAsia="Times New Roman" w:hAnsi="Times New Roman" w:cs="Times New Roman"/>
                <w:sz w:val="22"/>
                <w:szCs w:val="22"/>
                <w:lang w:val="en-NZ" w:eastAsia="en-NZ"/>
              </w:rPr>
              <w:t>reflects the submissions the Panel has received</w:t>
            </w:r>
            <w:r w:rsidR="009E478C">
              <w:rPr>
                <w:rFonts w:ascii="Times New Roman" w:eastAsia="Times New Roman" w:hAnsi="Times New Roman" w:cs="Times New Roman"/>
                <w:sz w:val="22"/>
                <w:szCs w:val="22"/>
                <w:lang w:val="en-NZ" w:eastAsia="en-NZ"/>
              </w:rPr>
              <w:t xml:space="preserve">; </w:t>
            </w:r>
            <w:r w:rsidRPr="00D70515">
              <w:rPr>
                <w:rFonts w:ascii="Times New Roman" w:eastAsia="Times New Roman" w:hAnsi="Times New Roman" w:cs="Times New Roman"/>
                <w:sz w:val="22"/>
                <w:szCs w:val="22"/>
                <w:lang w:val="en-NZ" w:eastAsia="en-NZ"/>
              </w:rPr>
              <w:t>the feedback from the many meetings attended around the country</w:t>
            </w:r>
            <w:r w:rsidR="009E478C">
              <w:rPr>
                <w:rFonts w:ascii="Times New Roman" w:eastAsia="Times New Roman" w:hAnsi="Times New Roman" w:cs="Times New Roman"/>
                <w:sz w:val="22"/>
                <w:szCs w:val="22"/>
                <w:lang w:val="en-NZ" w:eastAsia="en-NZ"/>
              </w:rPr>
              <w:t>;</w:t>
            </w:r>
            <w:r w:rsidRPr="00D70515">
              <w:rPr>
                <w:rFonts w:ascii="Times New Roman" w:eastAsia="Times New Roman" w:hAnsi="Times New Roman" w:cs="Times New Roman"/>
                <w:sz w:val="22"/>
                <w:szCs w:val="22"/>
                <w:lang w:val="en-NZ" w:eastAsia="en-NZ"/>
              </w:rPr>
              <w:t xml:space="preserve"> and the analysis undertaken over the past several months. But it is still very much a work in progress.</w:t>
            </w:r>
            <w:r w:rsidR="00D250E2">
              <w:rPr>
                <w:rFonts w:ascii="Times New Roman" w:eastAsia="Times New Roman" w:hAnsi="Times New Roman" w:cs="Times New Roman"/>
                <w:sz w:val="22"/>
                <w:szCs w:val="22"/>
                <w:lang w:val="en-NZ" w:eastAsia="en-NZ"/>
              </w:rPr>
              <w:t xml:space="preserve">  Panel Chair, Heather Simpson, stated that “</w:t>
            </w:r>
            <w:r w:rsidRPr="00D70515">
              <w:rPr>
                <w:rFonts w:ascii="Times New Roman" w:eastAsia="Times New Roman" w:hAnsi="Times New Roman" w:cs="Times New Roman"/>
                <w:sz w:val="22"/>
                <w:szCs w:val="22"/>
                <w:lang w:val="en-NZ" w:eastAsia="en-NZ"/>
              </w:rPr>
              <w:t>We have identified the likely reform themes and directions</w:t>
            </w:r>
            <w:r w:rsidR="00D250E2">
              <w:rPr>
                <w:rFonts w:ascii="Times New Roman" w:eastAsia="Times New Roman" w:hAnsi="Times New Roman" w:cs="Times New Roman"/>
                <w:sz w:val="22"/>
                <w:szCs w:val="22"/>
                <w:lang w:val="en-NZ" w:eastAsia="en-NZ"/>
              </w:rPr>
              <w:t>,</w:t>
            </w:r>
            <w:r w:rsidRPr="00D70515">
              <w:rPr>
                <w:rFonts w:ascii="Times New Roman" w:eastAsia="Times New Roman" w:hAnsi="Times New Roman" w:cs="Times New Roman"/>
                <w:sz w:val="22"/>
                <w:szCs w:val="22"/>
                <w:lang w:val="en-NZ" w:eastAsia="en-NZ"/>
              </w:rPr>
              <w:t xml:space="preserve"> but significantly more discussion and evaluation is needed before we will be in a position to bring our thinking to recommendation stage</w:t>
            </w:r>
            <w:r w:rsidR="00CC292B">
              <w:rPr>
                <w:rFonts w:ascii="Times New Roman" w:eastAsia="Times New Roman" w:hAnsi="Times New Roman" w:cs="Times New Roman"/>
                <w:sz w:val="22"/>
                <w:szCs w:val="22"/>
                <w:lang w:val="en-NZ" w:eastAsia="en-NZ"/>
              </w:rPr>
              <w:t>”.</w:t>
            </w:r>
            <w:r w:rsidRPr="00D70515">
              <w:rPr>
                <w:rFonts w:ascii="Times New Roman" w:eastAsia="Times New Roman" w:hAnsi="Times New Roman" w:cs="Times New Roman"/>
                <w:sz w:val="22"/>
                <w:szCs w:val="22"/>
                <w:lang w:val="en-NZ" w:eastAsia="en-NZ"/>
              </w:rPr>
              <w:t xml:space="preserve"> </w:t>
            </w:r>
          </w:p>
          <w:p w14:paraId="4983D622" w14:textId="1DEE7A86" w:rsidR="00D250E2" w:rsidRPr="008245F7" w:rsidRDefault="004E7F0F" w:rsidP="00D70515">
            <w:pPr>
              <w:shd w:val="clear" w:color="auto" w:fill="FFFFFF"/>
              <w:spacing w:after="180"/>
              <w:rPr>
                <w:rFonts w:ascii="Times New Roman" w:eastAsia="Times New Roman" w:hAnsi="Times New Roman" w:cs="Times New Roman"/>
                <w:sz w:val="22"/>
                <w:szCs w:val="22"/>
                <w:lang w:val="en-NZ" w:eastAsia="en-NZ"/>
              </w:rPr>
            </w:pPr>
            <w:hyperlink r:id="rId11" w:history="1">
              <w:r w:rsidR="00D250E2" w:rsidRPr="008245F7">
                <w:rPr>
                  <w:rStyle w:val="Hyperlink"/>
                  <w:rFonts w:ascii="Times New Roman" w:hAnsi="Times New Roman" w:cs="Times New Roman"/>
                  <w:color w:val="FF0000"/>
                  <w:sz w:val="22"/>
                  <w:szCs w:val="22"/>
                </w:rPr>
                <w:t>https://systemreview.health.govt.nz/assets/HDSR-interim-report/5b33db77f5/H-and-D-f</w:t>
              </w:r>
              <w:r w:rsidR="00D250E2" w:rsidRPr="008245F7">
                <w:rPr>
                  <w:rStyle w:val="Hyperlink"/>
                  <w:rFonts w:ascii="Times New Roman" w:hAnsi="Times New Roman" w:cs="Times New Roman"/>
                  <w:color w:val="FF0000"/>
                  <w:sz w:val="22"/>
                  <w:szCs w:val="22"/>
                </w:rPr>
                <w:t>u</w:t>
              </w:r>
              <w:r w:rsidR="00D250E2" w:rsidRPr="008245F7">
                <w:rPr>
                  <w:rStyle w:val="Hyperlink"/>
                  <w:rFonts w:ascii="Times New Roman" w:hAnsi="Times New Roman" w:cs="Times New Roman"/>
                  <w:color w:val="FF0000"/>
                  <w:sz w:val="22"/>
                  <w:szCs w:val="22"/>
                </w:rPr>
                <w:t>ll-interim-report-August-2019.pdf</w:t>
              </w:r>
            </w:hyperlink>
          </w:p>
          <w:p w14:paraId="24D5B8BE" w14:textId="4FF03614" w:rsidR="00D250E2" w:rsidRPr="00D70515" w:rsidRDefault="00D250E2" w:rsidP="00D70515">
            <w:pPr>
              <w:shd w:val="clear" w:color="auto" w:fill="FFFFFF"/>
              <w:spacing w:after="180"/>
              <w:rPr>
                <w:rFonts w:ascii="Times New Roman" w:eastAsia="Times New Roman" w:hAnsi="Times New Roman" w:cs="Times New Roman"/>
                <w:sz w:val="22"/>
                <w:szCs w:val="22"/>
                <w:lang w:val="en-NZ" w:eastAsia="en-NZ"/>
              </w:rPr>
            </w:pPr>
            <w:r>
              <w:rPr>
                <w:rFonts w:ascii="Times New Roman" w:eastAsia="Times New Roman" w:hAnsi="Times New Roman" w:cs="Times New Roman"/>
                <w:sz w:val="22"/>
                <w:szCs w:val="22"/>
                <w:lang w:val="en-NZ" w:eastAsia="en-NZ"/>
              </w:rPr>
              <w:t>The HCHA will be making submissions over the coming weeks to highlight both the existing and potential contribution of the Home and Community Support Sector to the wider health and disability sector.</w:t>
            </w:r>
          </w:p>
          <w:p w14:paraId="5B245130" w14:textId="263DB24F" w:rsidR="00D70515" w:rsidRPr="009627AA" w:rsidRDefault="00D70515" w:rsidP="004E2A5B">
            <w:pPr>
              <w:shd w:val="clear" w:color="auto" w:fill="FFFFFF"/>
              <w:spacing w:after="180"/>
              <w:rPr>
                <w:rStyle w:val="Hyperlink"/>
                <w:rFonts w:ascii="Corbel" w:hAnsi="Corbel" w:cstheme="minorHAnsi"/>
                <w:color w:val="2F5496" w:themeColor="accent1" w:themeShade="BF"/>
                <w:sz w:val="32"/>
                <w:szCs w:val="32"/>
              </w:rPr>
            </w:pPr>
            <w:r w:rsidRPr="00D70515">
              <w:rPr>
                <w:rFonts w:ascii="Times New Roman" w:eastAsia="Times New Roman" w:hAnsi="Times New Roman" w:cs="Times New Roman"/>
                <w:sz w:val="22"/>
                <w:szCs w:val="22"/>
                <w:lang w:val="en-NZ" w:eastAsia="en-NZ"/>
              </w:rPr>
              <w:t>Recommendations will be made in the Panel’s final report, due by 30 March 202</w:t>
            </w:r>
            <w:r w:rsidR="00D250E2">
              <w:rPr>
                <w:rFonts w:ascii="Times New Roman" w:eastAsia="Times New Roman" w:hAnsi="Times New Roman" w:cs="Times New Roman"/>
                <w:sz w:val="22"/>
                <w:szCs w:val="22"/>
                <w:lang w:val="en-NZ" w:eastAsia="en-NZ"/>
              </w:rPr>
              <w:t>0.</w:t>
            </w:r>
          </w:p>
        </w:tc>
      </w:tr>
      <w:tr w:rsidR="002E0989" w14:paraId="2CFFC52D" w14:textId="77777777" w:rsidTr="001A6450">
        <w:tc>
          <w:tcPr>
            <w:tcW w:w="2722" w:type="dxa"/>
            <w:tcBorders>
              <w:top w:val="single" w:sz="4" w:space="0" w:color="auto"/>
              <w:left w:val="nil"/>
              <w:bottom w:val="single" w:sz="4" w:space="0" w:color="auto"/>
              <w:right w:val="nil"/>
            </w:tcBorders>
            <w:shd w:val="clear" w:color="auto" w:fill="548DD4"/>
            <w:tcMar>
              <w:top w:w="0" w:type="dxa"/>
              <w:left w:w="108" w:type="dxa"/>
              <w:bottom w:w="0" w:type="dxa"/>
              <w:right w:w="108" w:type="dxa"/>
            </w:tcMar>
          </w:tcPr>
          <w:p w14:paraId="4FC2B8D0" w14:textId="234637B0" w:rsidR="002E0989" w:rsidRPr="00E97B57" w:rsidRDefault="00D8094E" w:rsidP="00544B55">
            <w:pPr>
              <w:pStyle w:val="TableofContentsEntry"/>
              <w:spacing w:line="276" w:lineRule="auto"/>
              <w:rPr>
                <w:rStyle w:val="Hyperlink"/>
                <w:rFonts w:ascii="Symbol" w:hAnsi="Symbol"/>
                <w:b/>
                <w:bCs/>
                <w:color w:val="auto"/>
                <w:sz w:val="36"/>
                <w:szCs w:val="36"/>
              </w:rPr>
            </w:pPr>
            <w:r w:rsidRPr="00E97B57">
              <w:rPr>
                <w:rStyle w:val="Hyperlink"/>
                <w:rFonts w:ascii="Symbol" w:hAnsi="Symbol"/>
                <w:b/>
                <w:bCs/>
                <w:color w:val="FFFFFF" w:themeColor="background1"/>
                <w:sz w:val="36"/>
                <w:szCs w:val="36"/>
              </w:rPr>
              <w:t></w:t>
            </w:r>
            <w:r w:rsidRPr="00E97B57">
              <w:rPr>
                <w:rStyle w:val="Hyperlink"/>
                <w:rFonts w:ascii="Calibri" w:hAnsi="Calibri"/>
                <w:b/>
                <w:bCs/>
                <w:color w:val="FFFFFF" w:themeColor="background1"/>
                <w:sz w:val="36"/>
                <w:szCs w:val="36"/>
              </w:rPr>
              <w:t xml:space="preserve"> </w:t>
            </w:r>
            <w:r w:rsidR="00796D1B" w:rsidRPr="00E97B57">
              <w:rPr>
                <w:rStyle w:val="Hyperlink"/>
                <w:rFonts w:ascii="Calibri" w:hAnsi="Calibri"/>
                <w:b/>
                <w:bCs/>
                <w:color w:val="FFFFFF" w:themeColor="background1"/>
                <w:sz w:val="36"/>
                <w:szCs w:val="36"/>
              </w:rPr>
              <w:t>ARC Funding Review</w:t>
            </w:r>
          </w:p>
        </w:tc>
        <w:tc>
          <w:tcPr>
            <w:tcW w:w="6638" w:type="dxa"/>
            <w:tcBorders>
              <w:top w:val="single" w:sz="4" w:space="0" w:color="auto"/>
              <w:left w:val="nil"/>
              <w:bottom w:val="single" w:sz="4" w:space="0" w:color="auto"/>
              <w:right w:val="nil"/>
            </w:tcBorders>
            <w:tcMar>
              <w:top w:w="0" w:type="dxa"/>
              <w:left w:w="108" w:type="dxa"/>
              <w:bottom w:w="0" w:type="dxa"/>
              <w:right w:w="108" w:type="dxa"/>
            </w:tcMar>
          </w:tcPr>
          <w:p w14:paraId="195EA7FD" w14:textId="77777777" w:rsidR="002E0989" w:rsidRPr="00BD77AA" w:rsidRDefault="00796D1B" w:rsidP="00EE4B29">
            <w:pPr>
              <w:pStyle w:val="TableofContentsEntry"/>
              <w:spacing w:after="0"/>
              <w:ind w:left="0" w:firstLine="0"/>
              <w:rPr>
                <w:rFonts w:ascii="Corbel" w:hAnsi="Corbel"/>
                <w:bCs/>
                <w:color w:val="2F5496" w:themeColor="accent1" w:themeShade="BF"/>
                <w:sz w:val="32"/>
                <w:szCs w:val="32"/>
              </w:rPr>
            </w:pPr>
            <w:r w:rsidRPr="00BD77AA">
              <w:rPr>
                <w:rFonts w:ascii="Corbel" w:hAnsi="Corbel"/>
                <w:bCs/>
                <w:color w:val="2F5496" w:themeColor="accent1" w:themeShade="BF"/>
                <w:sz w:val="32"/>
                <w:szCs w:val="32"/>
              </w:rPr>
              <w:t>Aged Residential Care (ARC) Funding Model Review</w:t>
            </w:r>
          </w:p>
          <w:p w14:paraId="47386477" w14:textId="77777777" w:rsidR="00EE4B29" w:rsidRDefault="00EE4B29" w:rsidP="00EE4B29">
            <w:pPr>
              <w:pStyle w:val="TableofContentsEntry"/>
              <w:spacing w:after="0"/>
              <w:ind w:left="0" w:firstLine="0"/>
              <w:jc w:val="both"/>
              <w:rPr>
                <w:rFonts w:ascii="Times New Roman" w:hAnsi="Times New Roman" w:cs="Times New Roman"/>
                <w:color w:val="222222"/>
                <w:sz w:val="22"/>
                <w:szCs w:val="22"/>
                <w:shd w:val="clear" w:color="auto" w:fill="FFFFFF"/>
              </w:rPr>
            </w:pPr>
          </w:p>
          <w:p w14:paraId="50103E45" w14:textId="46F1D9AC" w:rsidR="00EE4B29" w:rsidRDefault="00EE4B29" w:rsidP="00EE4B29">
            <w:pPr>
              <w:pStyle w:val="TableofContentsEntry"/>
              <w:spacing w:after="0"/>
              <w:ind w:left="0" w:firstLine="0"/>
              <w:jc w:val="both"/>
              <w:rPr>
                <w:rFonts w:ascii="Arial" w:hAnsi="Arial" w:cs="Arial"/>
                <w:color w:val="222222"/>
                <w:sz w:val="27"/>
                <w:szCs w:val="27"/>
                <w:shd w:val="clear" w:color="auto" w:fill="FFFFFF"/>
              </w:rPr>
            </w:pPr>
            <w:r w:rsidRPr="00EE4B29">
              <w:rPr>
                <w:rFonts w:ascii="Times New Roman" w:hAnsi="Times New Roman" w:cs="Times New Roman"/>
                <w:color w:val="222222"/>
                <w:sz w:val="22"/>
                <w:szCs w:val="22"/>
                <w:shd w:val="clear" w:color="auto" w:fill="FFFFFF"/>
              </w:rPr>
              <w:t xml:space="preserve">In late 2017, the Ministry of Health and the 20 District Health Boards commissioned a Review of the Aged Care Funding Model from Ernst and </w:t>
            </w:r>
            <w:r w:rsidRPr="00EE4B29">
              <w:rPr>
                <w:rFonts w:ascii="Times New Roman" w:hAnsi="Times New Roman" w:cs="Times New Roman"/>
                <w:color w:val="222222"/>
                <w:sz w:val="22"/>
                <w:szCs w:val="22"/>
                <w:shd w:val="clear" w:color="auto" w:fill="FFFFFF"/>
              </w:rPr>
              <w:lastRenderedPageBreak/>
              <w:t>Young (EY), to see if the model was keeping pace with the changes in the sector, and to look at whether it would be able to support the needs of the sector in the future.  The Review focussed on the way in which available funding is allocated</w:t>
            </w:r>
            <w:r>
              <w:rPr>
                <w:rFonts w:ascii="Arial" w:hAnsi="Arial" w:cs="Arial"/>
                <w:color w:val="222222"/>
                <w:sz w:val="27"/>
                <w:szCs w:val="27"/>
                <w:shd w:val="clear" w:color="auto" w:fill="FFFFFF"/>
              </w:rPr>
              <w:t>.</w:t>
            </w:r>
          </w:p>
          <w:p w14:paraId="4621B63A" w14:textId="77777777" w:rsidR="00EE4B29" w:rsidRDefault="00EE4B29" w:rsidP="00EE4B29">
            <w:pPr>
              <w:shd w:val="clear" w:color="auto" w:fill="FFFFFF"/>
              <w:rPr>
                <w:rFonts w:ascii="Times New Roman" w:eastAsia="Times New Roman" w:hAnsi="Times New Roman" w:cs="Times New Roman"/>
                <w:color w:val="222222"/>
                <w:sz w:val="22"/>
                <w:szCs w:val="22"/>
                <w:lang w:val="en-NZ" w:eastAsia="en-NZ"/>
              </w:rPr>
            </w:pPr>
          </w:p>
          <w:p w14:paraId="0BD0B5D4" w14:textId="2F24AE18" w:rsidR="00EE4B29" w:rsidRDefault="00EE4B29" w:rsidP="00EE4B29">
            <w:pPr>
              <w:shd w:val="clear" w:color="auto" w:fill="FFFFFF"/>
              <w:rPr>
                <w:rFonts w:ascii="Times New Roman" w:eastAsia="Times New Roman" w:hAnsi="Times New Roman" w:cs="Times New Roman"/>
                <w:color w:val="222222"/>
                <w:sz w:val="22"/>
                <w:szCs w:val="22"/>
                <w:lang w:val="en-NZ" w:eastAsia="en-NZ"/>
              </w:rPr>
            </w:pPr>
            <w:r w:rsidRPr="00EE4B29">
              <w:rPr>
                <w:rFonts w:ascii="Times New Roman" w:eastAsia="Times New Roman" w:hAnsi="Times New Roman" w:cs="Times New Roman"/>
                <w:color w:val="222222"/>
                <w:sz w:val="22"/>
                <w:szCs w:val="22"/>
                <w:lang w:val="en-NZ" w:eastAsia="en-NZ"/>
              </w:rPr>
              <w:t>The Review was completed in August 2019. It makes seven primary recommendations, including use of a new funding model more directly linked to individual resident needs, and lists another 16 matters that could be further considered.</w:t>
            </w:r>
          </w:p>
          <w:p w14:paraId="2D378B90" w14:textId="77777777" w:rsidR="00EE4B29" w:rsidRPr="00EE4B29" w:rsidRDefault="00EE4B29" w:rsidP="00EE4B29">
            <w:pPr>
              <w:shd w:val="clear" w:color="auto" w:fill="FFFFFF"/>
              <w:rPr>
                <w:rFonts w:ascii="Times New Roman" w:eastAsia="Times New Roman" w:hAnsi="Times New Roman" w:cs="Times New Roman"/>
                <w:color w:val="222222"/>
                <w:sz w:val="22"/>
                <w:szCs w:val="22"/>
                <w:lang w:val="en-NZ" w:eastAsia="en-NZ"/>
              </w:rPr>
            </w:pPr>
          </w:p>
          <w:p w14:paraId="60DC3884" w14:textId="5972FFEC" w:rsidR="00EE4B29" w:rsidRDefault="00EE4B29" w:rsidP="00EE4B29">
            <w:pPr>
              <w:shd w:val="clear" w:color="auto" w:fill="FFFFFF"/>
              <w:rPr>
                <w:rFonts w:ascii="Times New Roman" w:eastAsia="Times New Roman" w:hAnsi="Times New Roman" w:cs="Times New Roman"/>
                <w:color w:val="222222"/>
                <w:sz w:val="22"/>
                <w:szCs w:val="22"/>
                <w:lang w:val="en-NZ" w:eastAsia="en-NZ"/>
              </w:rPr>
            </w:pPr>
            <w:r w:rsidRPr="00EE4B29">
              <w:rPr>
                <w:rFonts w:ascii="Times New Roman" w:eastAsia="Times New Roman" w:hAnsi="Times New Roman" w:cs="Times New Roman"/>
                <w:color w:val="222222"/>
                <w:sz w:val="22"/>
                <w:szCs w:val="22"/>
                <w:lang w:val="en-NZ" w:eastAsia="en-NZ"/>
              </w:rPr>
              <w:t>The recommended funding model would be based on the interRAI clinical assessment approach currently used in New Zealand to support the development of care plans in aged care residential facilities. The funding model would be linked to interRAI assessments.  </w:t>
            </w:r>
          </w:p>
          <w:p w14:paraId="2BD0E0A5" w14:textId="0746E09A" w:rsidR="00EE4B29" w:rsidRDefault="00EE4B29" w:rsidP="00EE4B29">
            <w:pPr>
              <w:shd w:val="clear" w:color="auto" w:fill="FFFFFF"/>
              <w:rPr>
                <w:rFonts w:ascii="Times New Roman" w:eastAsia="Times New Roman" w:hAnsi="Times New Roman" w:cs="Times New Roman"/>
                <w:color w:val="222222"/>
                <w:sz w:val="22"/>
                <w:szCs w:val="22"/>
                <w:lang w:val="en-NZ" w:eastAsia="en-NZ"/>
              </w:rPr>
            </w:pPr>
          </w:p>
          <w:p w14:paraId="4523326F" w14:textId="58A31E55" w:rsidR="00EE4B29" w:rsidRDefault="00EE4B29" w:rsidP="00EE4B29">
            <w:pPr>
              <w:shd w:val="clear" w:color="auto" w:fill="FFFFFF"/>
              <w:rPr>
                <w:rFonts w:ascii="Times New Roman" w:eastAsia="Times New Roman" w:hAnsi="Times New Roman" w:cs="Times New Roman"/>
                <w:color w:val="222222"/>
                <w:sz w:val="22"/>
                <w:szCs w:val="22"/>
                <w:lang w:val="en-NZ" w:eastAsia="en-NZ"/>
              </w:rPr>
            </w:pPr>
            <w:r>
              <w:rPr>
                <w:rFonts w:ascii="Times New Roman" w:eastAsia="Times New Roman" w:hAnsi="Times New Roman" w:cs="Times New Roman"/>
                <w:color w:val="222222"/>
                <w:sz w:val="22"/>
                <w:szCs w:val="22"/>
                <w:lang w:val="en-NZ" w:eastAsia="en-NZ"/>
              </w:rPr>
              <w:t>For the full report see:</w:t>
            </w:r>
          </w:p>
          <w:p w14:paraId="04CF8EC8" w14:textId="056B4FB2" w:rsidR="00EE4B29" w:rsidRPr="00EE4B29" w:rsidRDefault="004E7F0F" w:rsidP="00EE4B29">
            <w:pPr>
              <w:shd w:val="clear" w:color="auto" w:fill="FFFFFF"/>
              <w:rPr>
                <w:rFonts w:ascii="Times New Roman" w:eastAsia="Times New Roman" w:hAnsi="Times New Roman" w:cs="Times New Roman"/>
                <w:color w:val="FF0000"/>
                <w:sz w:val="22"/>
                <w:szCs w:val="22"/>
                <w:lang w:val="en-NZ" w:eastAsia="en-NZ"/>
              </w:rPr>
            </w:pPr>
            <w:hyperlink r:id="rId12" w:history="1">
              <w:r w:rsidR="00EE4B29" w:rsidRPr="004E2A5B">
                <w:rPr>
                  <w:rStyle w:val="Hyperlink"/>
                  <w:rFonts w:ascii="Times New Roman" w:hAnsi="Times New Roman" w:cs="Times New Roman"/>
                  <w:color w:val="FF0000"/>
                  <w:sz w:val="22"/>
                  <w:szCs w:val="22"/>
                </w:rPr>
                <w:t>https://tas.health.nz/assets/Health-of-Older-People/ARC-Funding-Model-Rev</w:t>
              </w:r>
              <w:r w:rsidR="00EE4B29" w:rsidRPr="004E2A5B">
                <w:rPr>
                  <w:rStyle w:val="Hyperlink"/>
                  <w:rFonts w:ascii="Times New Roman" w:hAnsi="Times New Roman" w:cs="Times New Roman"/>
                  <w:color w:val="FF0000"/>
                  <w:sz w:val="22"/>
                  <w:szCs w:val="22"/>
                </w:rPr>
                <w:t>i</w:t>
              </w:r>
              <w:r w:rsidR="00EE4B29" w:rsidRPr="004E2A5B">
                <w:rPr>
                  <w:rStyle w:val="Hyperlink"/>
                  <w:rFonts w:ascii="Times New Roman" w:hAnsi="Times New Roman" w:cs="Times New Roman"/>
                  <w:color w:val="FF0000"/>
                  <w:sz w:val="22"/>
                  <w:szCs w:val="22"/>
                </w:rPr>
                <w:t>ew-Final-Report.pdf</w:t>
              </w:r>
            </w:hyperlink>
          </w:p>
          <w:p w14:paraId="7C38E03F" w14:textId="1A31CD63" w:rsidR="00EE4B29" w:rsidRPr="004E2A5B" w:rsidRDefault="00EE4B29" w:rsidP="00EE4B29">
            <w:pPr>
              <w:pStyle w:val="TableofContentsEntry"/>
              <w:spacing w:after="0"/>
              <w:ind w:left="0" w:firstLine="0"/>
              <w:jc w:val="both"/>
              <w:rPr>
                <w:rStyle w:val="Hyperlink"/>
                <w:rFonts w:ascii="Corbel" w:hAnsi="Corbel" w:cstheme="minorHAnsi"/>
                <w:color w:val="auto"/>
                <w:sz w:val="22"/>
                <w:szCs w:val="22"/>
              </w:rPr>
            </w:pPr>
          </w:p>
        </w:tc>
      </w:tr>
      <w:tr w:rsidR="002E0989" w14:paraId="3D6B90E7" w14:textId="77777777" w:rsidTr="001A6450">
        <w:tc>
          <w:tcPr>
            <w:tcW w:w="2722" w:type="dxa"/>
            <w:tcBorders>
              <w:top w:val="single" w:sz="4" w:space="0" w:color="auto"/>
              <w:left w:val="nil"/>
              <w:bottom w:val="single" w:sz="4" w:space="0" w:color="auto"/>
              <w:right w:val="nil"/>
            </w:tcBorders>
            <w:shd w:val="clear" w:color="auto" w:fill="548DD4"/>
            <w:tcMar>
              <w:top w:w="0" w:type="dxa"/>
              <w:left w:w="108" w:type="dxa"/>
              <w:bottom w:w="0" w:type="dxa"/>
              <w:right w:w="108" w:type="dxa"/>
            </w:tcMar>
          </w:tcPr>
          <w:p w14:paraId="701578F5" w14:textId="4986880F" w:rsidR="002E0989" w:rsidRPr="00E97B57" w:rsidRDefault="00564D98" w:rsidP="00BF5B33">
            <w:pPr>
              <w:pStyle w:val="TableofContentsEntry"/>
              <w:spacing w:line="276" w:lineRule="auto"/>
              <w:rPr>
                <w:rStyle w:val="Hyperlink"/>
                <w:rFonts w:ascii="Symbol" w:hAnsi="Symbol"/>
                <w:color w:val="FFFFFF"/>
                <w:sz w:val="36"/>
                <w:szCs w:val="36"/>
              </w:rPr>
            </w:pPr>
            <w:r w:rsidRPr="00E97B57">
              <w:rPr>
                <w:rStyle w:val="Hyperlink"/>
                <w:rFonts w:ascii="Symbol" w:hAnsi="Symbol"/>
                <w:b/>
                <w:bCs/>
                <w:color w:val="FFFFFF" w:themeColor="background1"/>
                <w:sz w:val="36"/>
                <w:szCs w:val="36"/>
              </w:rPr>
              <w:lastRenderedPageBreak/>
              <w:t></w:t>
            </w:r>
            <w:r w:rsidRPr="00E97B57">
              <w:rPr>
                <w:rStyle w:val="Hyperlink"/>
                <w:rFonts w:ascii="Times New Roman" w:hAnsi="Times New Roman" w:cs="Times New Roman"/>
                <w:b/>
                <w:bCs/>
                <w:color w:val="FFFFFF" w:themeColor="background1"/>
                <w:sz w:val="36"/>
                <w:szCs w:val="36"/>
              </w:rPr>
              <w:t> </w:t>
            </w:r>
            <w:r>
              <w:rPr>
                <w:rStyle w:val="Hyperlink"/>
                <w:rFonts w:ascii="Calibri" w:hAnsi="Calibri"/>
                <w:b/>
                <w:bCs/>
                <w:color w:val="FFFFFF" w:themeColor="background1"/>
                <w:sz w:val="36"/>
                <w:szCs w:val="36"/>
              </w:rPr>
              <w:t>Pay Equity</w:t>
            </w:r>
          </w:p>
        </w:tc>
        <w:tc>
          <w:tcPr>
            <w:tcW w:w="6638" w:type="dxa"/>
            <w:tcBorders>
              <w:top w:val="single" w:sz="4" w:space="0" w:color="auto"/>
              <w:left w:val="nil"/>
              <w:bottom w:val="single" w:sz="4" w:space="0" w:color="auto"/>
              <w:right w:val="nil"/>
            </w:tcBorders>
            <w:tcMar>
              <w:top w:w="0" w:type="dxa"/>
              <w:left w:w="108" w:type="dxa"/>
              <w:bottom w:w="0" w:type="dxa"/>
              <w:right w:w="108" w:type="dxa"/>
            </w:tcMar>
          </w:tcPr>
          <w:p w14:paraId="115D8581" w14:textId="663CD3A0" w:rsidR="002E0989" w:rsidRDefault="00564D98" w:rsidP="003A6D2B">
            <w:pPr>
              <w:pStyle w:val="TableofContentsEntry"/>
              <w:spacing w:line="276" w:lineRule="auto"/>
              <w:rPr>
                <w:rStyle w:val="Hyperlink"/>
                <w:rFonts w:ascii="Corbel" w:hAnsi="Corbel" w:cstheme="minorHAnsi"/>
                <w:color w:val="1F3864" w:themeColor="accent1" w:themeShade="80"/>
                <w:sz w:val="36"/>
                <w:szCs w:val="36"/>
              </w:rPr>
            </w:pPr>
            <w:r>
              <w:rPr>
                <w:rStyle w:val="Hyperlink"/>
                <w:rFonts w:ascii="Corbel" w:hAnsi="Corbel" w:cstheme="minorHAnsi"/>
                <w:color w:val="1F3864" w:themeColor="accent1" w:themeShade="80"/>
                <w:sz w:val="36"/>
                <w:szCs w:val="36"/>
              </w:rPr>
              <w:t xml:space="preserve">Pay Equity </w:t>
            </w:r>
            <w:r w:rsidR="00EE4B29">
              <w:rPr>
                <w:rStyle w:val="Hyperlink"/>
                <w:rFonts w:ascii="Corbel" w:hAnsi="Corbel" w:cstheme="minorHAnsi"/>
                <w:color w:val="1F3864" w:themeColor="accent1" w:themeShade="80"/>
                <w:sz w:val="36"/>
                <w:szCs w:val="36"/>
              </w:rPr>
              <w:t xml:space="preserve">Funding </w:t>
            </w:r>
            <w:r>
              <w:rPr>
                <w:rStyle w:val="Hyperlink"/>
                <w:rFonts w:ascii="Corbel" w:hAnsi="Corbel" w:cstheme="minorHAnsi"/>
                <w:color w:val="1F3864" w:themeColor="accent1" w:themeShade="80"/>
                <w:sz w:val="36"/>
                <w:szCs w:val="36"/>
              </w:rPr>
              <w:t>Devolution</w:t>
            </w:r>
          </w:p>
          <w:p w14:paraId="1673DE13" w14:textId="211CC412" w:rsidR="00564D98" w:rsidRPr="007E0D3B" w:rsidRDefault="007E0D3B" w:rsidP="00564D98">
            <w:pPr>
              <w:contextualSpacing/>
              <w:rPr>
                <w:rFonts w:ascii="Times New Roman" w:eastAsia="Calibri" w:hAnsi="Times New Roman" w:cs="Times New Roman"/>
                <w:sz w:val="22"/>
                <w:szCs w:val="22"/>
              </w:rPr>
            </w:pPr>
            <w:r w:rsidRPr="007E0D3B">
              <w:rPr>
                <w:rFonts w:ascii="Times New Roman" w:eastAsia="Calibri" w:hAnsi="Times New Roman" w:cs="Times New Roman"/>
                <w:sz w:val="22"/>
                <w:szCs w:val="22"/>
              </w:rPr>
              <w:t xml:space="preserve">HCSS </w:t>
            </w:r>
            <w:r w:rsidR="00564D98" w:rsidRPr="007E0D3B">
              <w:rPr>
                <w:rFonts w:ascii="Times New Roman" w:eastAsia="Calibri" w:hAnsi="Times New Roman" w:cs="Times New Roman"/>
                <w:sz w:val="22"/>
                <w:szCs w:val="22"/>
              </w:rPr>
              <w:t>Pay Equity funding has now been devolved to funders with support arrangements for DHBs agreed. The Ministry will provide support to DHBs through the six-month transition period.</w:t>
            </w:r>
          </w:p>
          <w:p w14:paraId="34B99318" w14:textId="77777777" w:rsidR="007E0D3B" w:rsidRPr="007E0D3B" w:rsidRDefault="007E0D3B" w:rsidP="007E0D3B">
            <w:pPr>
              <w:rPr>
                <w:rFonts w:ascii="Times New Roman" w:eastAsia="Calibri" w:hAnsi="Times New Roman" w:cs="Times New Roman"/>
                <w:sz w:val="22"/>
                <w:szCs w:val="22"/>
              </w:rPr>
            </w:pPr>
          </w:p>
          <w:p w14:paraId="761B3586" w14:textId="679AB25D" w:rsidR="00564D98" w:rsidRPr="007E0D3B" w:rsidRDefault="00564D98" w:rsidP="007E0D3B">
            <w:pPr>
              <w:rPr>
                <w:rFonts w:ascii="Times New Roman" w:eastAsia="Calibri" w:hAnsi="Times New Roman" w:cs="Times New Roman"/>
                <w:sz w:val="22"/>
                <w:szCs w:val="22"/>
              </w:rPr>
            </w:pPr>
            <w:r w:rsidRPr="007E0D3B">
              <w:rPr>
                <w:rFonts w:ascii="Times New Roman" w:eastAsia="Calibri" w:hAnsi="Times New Roman" w:cs="Times New Roman"/>
                <w:sz w:val="22"/>
                <w:szCs w:val="22"/>
              </w:rPr>
              <w:t>The Ministry will continue to provide:</w:t>
            </w:r>
          </w:p>
          <w:p w14:paraId="0CE13F7B" w14:textId="484B3364" w:rsidR="00564D98" w:rsidRPr="007E0D3B" w:rsidRDefault="00564D98" w:rsidP="007E0D3B">
            <w:pPr>
              <w:pStyle w:val="ListParagraph"/>
              <w:numPr>
                <w:ilvl w:val="0"/>
                <w:numId w:val="12"/>
              </w:numPr>
              <w:contextualSpacing/>
              <w:rPr>
                <w:rFonts w:ascii="Times New Roman" w:hAnsi="Times New Roman" w:cs="Times New Roman"/>
              </w:rPr>
            </w:pPr>
            <w:r w:rsidRPr="007E0D3B">
              <w:rPr>
                <w:rFonts w:ascii="Times New Roman" w:hAnsi="Times New Roman" w:cs="Times New Roman"/>
              </w:rPr>
              <w:t>Audit &amp; compliance (workforce data)</w:t>
            </w:r>
          </w:p>
          <w:p w14:paraId="384D1771" w14:textId="07FF69FC" w:rsidR="00564D98" w:rsidRPr="007E0D3B" w:rsidRDefault="00564D98" w:rsidP="007E0D3B">
            <w:pPr>
              <w:pStyle w:val="ListParagraph"/>
              <w:numPr>
                <w:ilvl w:val="0"/>
                <w:numId w:val="12"/>
              </w:numPr>
              <w:contextualSpacing/>
              <w:rPr>
                <w:rFonts w:ascii="Times New Roman" w:hAnsi="Times New Roman" w:cs="Times New Roman"/>
              </w:rPr>
            </w:pPr>
            <w:r w:rsidRPr="007E0D3B">
              <w:rPr>
                <w:rFonts w:ascii="Times New Roman" w:hAnsi="Times New Roman" w:cs="Times New Roman"/>
              </w:rPr>
              <w:t>Financial reporting (monthly/quarterly)</w:t>
            </w:r>
          </w:p>
          <w:p w14:paraId="00892804" w14:textId="6C91AD2E" w:rsidR="00564D98" w:rsidRPr="007E0D3B" w:rsidRDefault="00564D98" w:rsidP="007E0D3B">
            <w:pPr>
              <w:pStyle w:val="ListParagraph"/>
              <w:numPr>
                <w:ilvl w:val="0"/>
                <w:numId w:val="12"/>
              </w:numPr>
              <w:contextualSpacing/>
              <w:rPr>
                <w:rFonts w:ascii="Times New Roman" w:hAnsi="Times New Roman" w:cs="Times New Roman"/>
              </w:rPr>
            </w:pPr>
            <w:r w:rsidRPr="007E0D3B">
              <w:rPr>
                <w:rFonts w:ascii="Times New Roman" w:hAnsi="Times New Roman" w:cs="Times New Roman"/>
              </w:rPr>
              <w:t>Monitoring and reporting of workforce data</w:t>
            </w:r>
          </w:p>
          <w:p w14:paraId="28D0CC64" w14:textId="2BADA63D" w:rsidR="00564D98" w:rsidRPr="007E0D3B" w:rsidRDefault="00564D98" w:rsidP="007E0D3B">
            <w:pPr>
              <w:pStyle w:val="ListParagraph"/>
              <w:numPr>
                <w:ilvl w:val="0"/>
                <w:numId w:val="12"/>
              </w:numPr>
              <w:contextualSpacing/>
              <w:rPr>
                <w:rFonts w:ascii="Times New Roman" w:hAnsi="Times New Roman" w:cs="Times New Roman"/>
              </w:rPr>
            </w:pPr>
            <w:r w:rsidRPr="007E0D3B">
              <w:rPr>
                <w:rFonts w:ascii="Times New Roman" w:hAnsi="Times New Roman" w:cs="Times New Roman"/>
              </w:rPr>
              <w:t>Report back to Cabinet and informing Ministers on PE implementation</w:t>
            </w:r>
          </w:p>
          <w:p w14:paraId="7529B82C" w14:textId="3FCF349F" w:rsidR="00564D98" w:rsidRDefault="00564D98" w:rsidP="0000129A">
            <w:pPr>
              <w:pStyle w:val="ListParagraph"/>
              <w:numPr>
                <w:ilvl w:val="0"/>
                <w:numId w:val="12"/>
              </w:numPr>
              <w:contextualSpacing/>
              <w:rPr>
                <w:rFonts w:ascii="Times New Roman" w:hAnsi="Times New Roman" w:cs="Times New Roman"/>
              </w:rPr>
            </w:pPr>
            <w:r w:rsidRPr="007E0D3B">
              <w:rPr>
                <w:rFonts w:ascii="Times New Roman" w:hAnsi="Times New Roman" w:cs="Times New Roman"/>
              </w:rPr>
              <w:t>Review and revision of Operational Policy Document for Providers and Operational Policy Framework for DHBs – Pay Equity</w:t>
            </w:r>
          </w:p>
          <w:p w14:paraId="02CE3FA0" w14:textId="2BD71412" w:rsidR="0000129A" w:rsidRPr="0000129A" w:rsidRDefault="0000129A" w:rsidP="0000129A">
            <w:pPr>
              <w:pStyle w:val="ListParagraph"/>
              <w:contextualSpacing/>
              <w:rPr>
                <w:rStyle w:val="Hyperlink"/>
                <w:rFonts w:ascii="Times New Roman" w:hAnsi="Times New Roman" w:cs="Times New Roman"/>
                <w:color w:val="auto"/>
              </w:rPr>
            </w:pPr>
          </w:p>
        </w:tc>
      </w:tr>
      <w:tr w:rsidR="001A6450" w14:paraId="585D63AF" w14:textId="77777777" w:rsidTr="001A6450">
        <w:tc>
          <w:tcPr>
            <w:tcW w:w="2722" w:type="dxa"/>
            <w:tcBorders>
              <w:top w:val="nil"/>
              <w:left w:val="nil"/>
              <w:bottom w:val="single" w:sz="8" w:space="0" w:color="auto"/>
              <w:right w:val="nil"/>
            </w:tcBorders>
            <w:shd w:val="clear" w:color="auto" w:fill="548DD4"/>
            <w:tcMar>
              <w:top w:w="0" w:type="dxa"/>
              <w:left w:w="108" w:type="dxa"/>
              <w:bottom w:w="0" w:type="dxa"/>
              <w:right w:w="108" w:type="dxa"/>
            </w:tcMar>
          </w:tcPr>
          <w:p w14:paraId="54C2EEEE" w14:textId="77777777" w:rsidR="001A6450" w:rsidRPr="00E97B57" w:rsidRDefault="001A6450" w:rsidP="00D779AA">
            <w:pPr>
              <w:pStyle w:val="Default"/>
              <w:rPr>
                <w:rStyle w:val="Hyperlink"/>
                <w:rFonts w:ascii="Symbol" w:hAnsi="Symbol"/>
                <w:color w:val="FFFFFF"/>
                <w:sz w:val="36"/>
                <w:szCs w:val="36"/>
              </w:rPr>
            </w:pPr>
            <w:r w:rsidRPr="00E97B57">
              <w:rPr>
                <w:rStyle w:val="Hyperlink"/>
                <w:rFonts w:ascii="Symbol" w:hAnsi="Symbol"/>
                <w:color w:val="FFFFFF"/>
                <w:sz w:val="36"/>
                <w:szCs w:val="36"/>
              </w:rPr>
              <w:t></w:t>
            </w:r>
            <w:r w:rsidRPr="00E97B57">
              <w:rPr>
                <w:rStyle w:val="Hyperlink"/>
                <w:rFonts w:ascii="Times New Roman" w:hAnsi="Times New Roman" w:cs="Times New Roman"/>
                <w:color w:val="FFFFFF"/>
                <w:sz w:val="36"/>
                <w:szCs w:val="36"/>
              </w:rPr>
              <w:t> </w:t>
            </w:r>
            <w:r w:rsidRPr="00E97B57">
              <w:rPr>
                <w:rStyle w:val="Hyperlink"/>
                <w:rFonts w:asciiTheme="minorHAnsi" w:hAnsiTheme="minorHAnsi" w:cstheme="minorHAnsi"/>
                <w:b/>
                <w:bCs/>
                <w:color w:val="FFFFFF"/>
                <w:sz w:val="36"/>
                <w:szCs w:val="36"/>
              </w:rPr>
              <w:t>DHB Elections</w:t>
            </w:r>
          </w:p>
        </w:tc>
        <w:tc>
          <w:tcPr>
            <w:tcW w:w="6638" w:type="dxa"/>
            <w:tcBorders>
              <w:top w:val="nil"/>
              <w:left w:val="nil"/>
              <w:bottom w:val="single" w:sz="8" w:space="0" w:color="auto"/>
              <w:right w:val="nil"/>
            </w:tcBorders>
            <w:tcMar>
              <w:top w:w="0" w:type="dxa"/>
              <w:left w:w="108" w:type="dxa"/>
              <w:bottom w:w="0" w:type="dxa"/>
              <w:right w:w="108" w:type="dxa"/>
            </w:tcMar>
          </w:tcPr>
          <w:p w14:paraId="5554FB46" w14:textId="77777777" w:rsidR="001A6450" w:rsidRPr="00784051" w:rsidRDefault="001A6450" w:rsidP="00D779AA">
            <w:pPr>
              <w:rPr>
                <w:rFonts w:ascii="Corbel" w:hAnsi="Corbel" w:cs="Times New Roman"/>
                <w:color w:val="1F3864" w:themeColor="accent1" w:themeShade="80"/>
                <w:sz w:val="32"/>
                <w:szCs w:val="32"/>
              </w:rPr>
            </w:pPr>
            <w:r w:rsidRPr="00784051">
              <w:rPr>
                <w:rStyle w:val="Hyperlink"/>
                <w:rFonts w:ascii="Corbel" w:hAnsi="Corbel" w:cstheme="minorHAnsi"/>
                <w:color w:val="1F3864" w:themeColor="accent1" w:themeShade="80"/>
                <w:sz w:val="32"/>
                <w:szCs w:val="32"/>
              </w:rPr>
              <w:t>Union DHB Election Campaign</w:t>
            </w:r>
          </w:p>
          <w:p w14:paraId="38388BF7" w14:textId="77777777" w:rsidR="001A6450" w:rsidRDefault="001A6450" w:rsidP="00D779AA">
            <w:pPr>
              <w:rPr>
                <w:rFonts w:ascii="Times New Roman" w:eastAsia="Times New Roman" w:hAnsi="Times New Roman" w:cs="Times New Roman"/>
                <w:spacing w:val="2"/>
                <w:sz w:val="22"/>
                <w:szCs w:val="22"/>
              </w:rPr>
            </w:pPr>
          </w:p>
          <w:p w14:paraId="6C5E4CE8" w14:textId="1CCF375D" w:rsidR="001A6450" w:rsidRDefault="001A6450" w:rsidP="00D779AA">
            <w:pPr>
              <w:rPr>
                <w:rFonts w:ascii="Times New Roman" w:eastAsia="Times New Roman" w:hAnsi="Times New Roman" w:cs="Times New Roman"/>
                <w:spacing w:val="2"/>
                <w:sz w:val="22"/>
                <w:szCs w:val="22"/>
              </w:rPr>
            </w:pPr>
            <w:r>
              <w:rPr>
                <w:rFonts w:ascii="Times New Roman" w:eastAsia="Times New Roman" w:hAnsi="Times New Roman" w:cs="Times New Roman"/>
                <w:spacing w:val="2"/>
                <w:sz w:val="22"/>
                <w:szCs w:val="22"/>
              </w:rPr>
              <w:t xml:space="preserve">PSA and </w:t>
            </w:r>
            <w:proofErr w:type="spellStart"/>
            <w:r>
              <w:rPr>
                <w:rFonts w:ascii="Times New Roman" w:eastAsia="Times New Roman" w:hAnsi="Times New Roman" w:cs="Times New Roman"/>
                <w:spacing w:val="2"/>
                <w:sz w:val="22"/>
                <w:szCs w:val="22"/>
              </w:rPr>
              <w:t>Etu</w:t>
            </w:r>
            <w:proofErr w:type="spellEnd"/>
            <w:r>
              <w:rPr>
                <w:rFonts w:ascii="Times New Roman" w:eastAsia="Times New Roman" w:hAnsi="Times New Roman" w:cs="Times New Roman"/>
                <w:spacing w:val="2"/>
                <w:sz w:val="22"/>
                <w:szCs w:val="22"/>
              </w:rPr>
              <w:t xml:space="preserve"> have launched a campaign, </w:t>
            </w:r>
            <w:r w:rsidRPr="00D250E2">
              <w:rPr>
                <w:rFonts w:ascii="Times New Roman" w:eastAsia="Times New Roman" w:hAnsi="Times New Roman" w:cs="Times New Roman"/>
                <w:i/>
                <w:iCs/>
                <w:spacing w:val="2"/>
                <w:sz w:val="22"/>
                <w:szCs w:val="22"/>
              </w:rPr>
              <w:t>“Let’s Bring this Home</w:t>
            </w:r>
            <w:r w:rsidR="003F5011">
              <w:rPr>
                <w:rFonts w:ascii="Times New Roman" w:eastAsia="Times New Roman" w:hAnsi="Times New Roman" w:cs="Times New Roman"/>
                <w:i/>
                <w:iCs/>
                <w:spacing w:val="2"/>
                <w:sz w:val="22"/>
                <w:szCs w:val="22"/>
              </w:rPr>
              <w:t>”</w:t>
            </w:r>
            <w:r w:rsidRPr="00D250E2">
              <w:rPr>
                <w:rFonts w:ascii="Times New Roman" w:eastAsia="Times New Roman" w:hAnsi="Times New Roman" w:cs="Times New Roman"/>
                <w:i/>
                <w:iCs/>
                <w:spacing w:val="2"/>
                <w:sz w:val="22"/>
                <w:szCs w:val="22"/>
              </w:rPr>
              <w:t>,</w:t>
            </w:r>
            <w:r w:rsidR="00C50997">
              <w:rPr>
                <w:rFonts w:ascii="Times New Roman" w:eastAsia="Times New Roman" w:hAnsi="Times New Roman" w:cs="Times New Roman"/>
                <w:i/>
                <w:iCs/>
                <w:spacing w:val="2"/>
                <w:sz w:val="22"/>
                <w:szCs w:val="22"/>
              </w:rPr>
              <w:t xml:space="preserve"> </w:t>
            </w:r>
            <w:r>
              <w:rPr>
                <w:rFonts w:ascii="Times New Roman" w:eastAsia="Times New Roman" w:hAnsi="Times New Roman" w:cs="Times New Roman"/>
                <w:spacing w:val="2"/>
                <w:sz w:val="22"/>
                <w:szCs w:val="22"/>
              </w:rPr>
              <w:t>aimed at increasing the awareness of candidates standing in the current DHB elections as to issues in the home support sector.  It also aims at increasing the knowledge of Members of Parliament as to sector issues from a Union perspective.</w:t>
            </w:r>
          </w:p>
          <w:p w14:paraId="78B959BD" w14:textId="77777777" w:rsidR="001A6450" w:rsidRDefault="001A6450" w:rsidP="00D779AA">
            <w:pPr>
              <w:rPr>
                <w:rFonts w:ascii="Times New Roman" w:eastAsia="Times New Roman" w:hAnsi="Times New Roman" w:cs="Times New Roman"/>
                <w:spacing w:val="2"/>
                <w:sz w:val="22"/>
                <w:szCs w:val="22"/>
              </w:rPr>
            </w:pPr>
          </w:p>
          <w:p w14:paraId="79B4926E" w14:textId="77777777" w:rsidR="001A6450" w:rsidRDefault="001A6450" w:rsidP="00D779AA">
            <w:pPr>
              <w:rPr>
                <w:rFonts w:ascii="Times New Roman" w:eastAsia="Times New Roman" w:hAnsi="Times New Roman" w:cs="Times New Roman"/>
                <w:spacing w:val="2"/>
                <w:sz w:val="22"/>
                <w:szCs w:val="22"/>
              </w:rPr>
            </w:pPr>
            <w:r>
              <w:rPr>
                <w:rFonts w:ascii="Times New Roman" w:eastAsia="Times New Roman" w:hAnsi="Times New Roman" w:cs="Times New Roman"/>
                <w:spacing w:val="2"/>
                <w:sz w:val="22"/>
                <w:szCs w:val="22"/>
              </w:rPr>
              <w:t xml:space="preserve">Providers have also identified many of these issues and HCHA were given the opportunity to include a ‘provider perspective’ in the Union pamphlet.  </w:t>
            </w:r>
          </w:p>
          <w:p w14:paraId="1F628005" w14:textId="77777777" w:rsidR="001A6450" w:rsidRDefault="001A6450" w:rsidP="00D779AA">
            <w:pPr>
              <w:rPr>
                <w:rFonts w:ascii="Times New Roman" w:eastAsia="Times New Roman" w:hAnsi="Times New Roman" w:cs="Times New Roman"/>
                <w:spacing w:val="2"/>
                <w:sz w:val="22"/>
                <w:szCs w:val="22"/>
              </w:rPr>
            </w:pPr>
          </w:p>
          <w:p w14:paraId="20D6159D" w14:textId="7A6117BD" w:rsidR="001A6450" w:rsidRDefault="001A6450" w:rsidP="00D779AA">
            <w:pPr>
              <w:rPr>
                <w:rFonts w:ascii="Times New Roman" w:eastAsia="Times New Roman" w:hAnsi="Times New Roman" w:cs="Times New Roman"/>
                <w:color w:val="FF0000"/>
                <w:spacing w:val="2"/>
                <w:sz w:val="22"/>
                <w:szCs w:val="22"/>
              </w:rPr>
            </w:pPr>
            <w:r w:rsidRPr="00070369">
              <w:rPr>
                <w:rFonts w:ascii="Times New Roman" w:eastAsia="Times New Roman" w:hAnsi="Times New Roman" w:cs="Times New Roman"/>
                <w:spacing w:val="2"/>
                <w:sz w:val="22"/>
                <w:szCs w:val="22"/>
              </w:rPr>
              <w:lastRenderedPageBreak/>
              <w:t xml:space="preserve">Let’s bring </w:t>
            </w:r>
            <w:r w:rsidR="00B85D23" w:rsidRPr="00070369">
              <w:rPr>
                <w:rFonts w:ascii="Times New Roman" w:eastAsia="Times New Roman" w:hAnsi="Times New Roman" w:cs="Times New Roman"/>
                <w:spacing w:val="2"/>
                <w:sz w:val="22"/>
                <w:szCs w:val="22"/>
              </w:rPr>
              <w:t>this</w:t>
            </w:r>
            <w:r w:rsidRPr="00070369">
              <w:rPr>
                <w:rFonts w:ascii="Times New Roman" w:eastAsia="Times New Roman" w:hAnsi="Times New Roman" w:cs="Times New Roman"/>
                <w:spacing w:val="2"/>
                <w:sz w:val="22"/>
                <w:szCs w:val="22"/>
              </w:rPr>
              <w:t xml:space="preserve"> home</w:t>
            </w:r>
            <w:r w:rsidR="00164BC0" w:rsidRPr="00070369">
              <w:rPr>
                <w:rFonts w:ascii="Times New Roman" w:eastAsia="Times New Roman" w:hAnsi="Times New Roman" w:cs="Times New Roman"/>
                <w:spacing w:val="2"/>
                <w:sz w:val="22"/>
                <w:szCs w:val="22"/>
              </w:rPr>
              <w:t xml:space="preserve"> </w:t>
            </w:r>
            <w:r w:rsidR="00095CC0" w:rsidRPr="00070369">
              <w:rPr>
                <w:rFonts w:ascii="Times New Roman" w:eastAsia="Times New Roman" w:hAnsi="Times New Roman" w:cs="Times New Roman"/>
                <w:spacing w:val="2"/>
                <w:sz w:val="22"/>
                <w:szCs w:val="22"/>
              </w:rPr>
              <w:t xml:space="preserve">- </w:t>
            </w:r>
            <w:r w:rsidR="0023046A" w:rsidRPr="00070369">
              <w:rPr>
                <w:rFonts w:ascii="Times New Roman" w:eastAsia="Times New Roman" w:hAnsi="Times New Roman" w:cs="Times New Roman"/>
                <w:spacing w:val="2"/>
                <w:sz w:val="22"/>
                <w:szCs w:val="22"/>
              </w:rPr>
              <w:t>Home Support September 2019</w:t>
            </w:r>
            <w:r w:rsidR="00095CC0" w:rsidRPr="00070369">
              <w:rPr>
                <w:rFonts w:ascii="Times New Roman" w:eastAsia="Times New Roman" w:hAnsi="Times New Roman" w:cs="Times New Roman"/>
                <w:spacing w:val="2"/>
                <w:sz w:val="22"/>
                <w:szCs w:val="22"/>
              </w:rPr>
              <w:t xml:space="preserve">: </w:t>
            </w:r>
            <w:hyperlink r:id="rId13" w:history="1">
              <w:r w:rsidR="00095CC0" w:rsidRPr="00095CC0">
                <w:rPr>
                  <w:rStyle w:val="Hyperlink"/>
                  <w:rFonts w:ascii="Times New Roman" w:eastAsia="Times New Roman" w:hAnsi="Times New Roman" w:cs="Times New Roman"/>
                  <w:color w:val="FF0000"/>
                  <w:spacing w:val="2"/>
                  <w:sz w:val="22"/>
                  <w:szCs w:val="22"/>
                </w:rPr>
                <w:t>https://www.etu.nz/wp-content/uploads/2019/09/Lets-bring-this-home-Home-Support-September-</w:t>
              </w:r>
              <w:r w:rsidR="00095CC0" w:rsidRPr="00095CC0">
                <w:rPr>
                  <w:rStyle w:val="Hyperlink"/>
                  <w:rFonts w:ascii="Times New Roman" w:eastAsia="Times New Roman" w:hAnsi="Times New Roman" w:cs="Times New Roman"/>
                  <w:color w:val="FF0000"/>
                  <w:spacing w:val="2"/>
                  <w:sz w:val="22"/>
                  <w:szCs w:val="22"/>
                </w:rPr>
                <w:t>2</w:t>
              </w:r>
              <w:r w:rsidR="00095CC0" w:rsidRPr="00095CC0">
                <w:rPr>
                  <w:rStyle w:val="Hyperlink"/>
                  <w:rFonts w:ascii="Times New Roman" w:eastAsia="Times New Roman" w:hAnsi="Times New Roman" w:cs="Times New Roman"/>
                  <w:color w:val="FF0000"/>
                  <w:spacing w:val="2"/>
                  <w:sz w:val="22"/>
                  <w:szCs w:val="22"/>
                </w:rPr>
                <w:t>019.pdf</w:t>
              </w:r>
            </w:hyperlink>
            <w:r w:rsidR="00B603FC">
              <w:rPr>
                <w:rFonts w:ascii="Times New Roman" w:eastAsia="Times New Roman" w:hAnsi="Times New Roman" w:cs="Times New Roman"/>
                <w:color w:val="FF0000"/>
                <w:spacing w:val="2"/>
                <w:sz w:val="22"/>
                <w:szCs w:val="22"/>
              </w:rPr>
              <w:t xml:space="preserve"> </w:t>
            </w:r>
          </w:p>
          <w:p w14:paraId="5007DAB0" w14:textId="77777777" w:rsidR="001A6450" w:rsidRPr="00E86271" w:rsidRDefault="001A6450" w:rsidP="00D779AA">
            <w:pPr>
              <w:rPr>
                <w:rStyle w:val="Hyperlink"/>
                <w:rFonts w:ascii="Times New Roman" w:eastAsia="Times New Roman" w:hAnsi="Times New Roman" w:cs="Times New Roman"/>
                <w:color w:val="auto"/>
                <w:spacing w:val="2"/>
                <w:sz w:val="22"/>
                <w:szCs w:val="22"/>
              </w:rPr>
            </w:pPr>
          </w:p>
        </w:tc>
      </w:tr>
      <w:tr w:rsidR="00D81B65" w14:paraId="14546AF9" w14:textId="77777777" w:rsidTr="001A6450">
        <w:tc>
          <w:tcPr>
            <w:tcW w:w="2722" w:type="dxa"/>
            <w:tcBorders>
              <w:top w:val="single" w:sz="4" w:space="0" w:color="auto"/>
              <w:left w:val="nil"/>
              <w:bottom w:val="single" w:sz="8" w:space="0" w:color="auto"/>
              <w:right w:val="nil"/>
            </w:tcBorders>
            <w:shd w:val="clear" w:color="auto" w:fill="548DD4"/>
            <w:tcMar>
              <w:top w:w="0" w:type="dxa"/>
              <w:left w:w="108" w:type="dxa"/>
              <w:bottom w:w="0" w:type="dxa"/>
              <w:right w:w="108" w:type="dxa"/>
            </w:tcMar>
          </w:tcPr>
          <w:p w14:paraId="42E42961" w14:textId="443AEA95" w:rsidR="00D81B65" w:rsidRPr="00E97B57" w:rsidRDefault="004B5752" w:rsidP="00BF5B33">
            <w:pPr>
              <w:pStyle w:val="TableofContentsEntry"/>
              <w:spacing w:line="276" w:lineRule="auto"/>
              <w:rPr>
                <w:rStyle w:val="Hyperlink"/>
                <w:rFonts w:ascii="Symbol" w:hAnsi="Symbol"/>
                <w:b/>
                <w:bCs/>
                <w:color w:val="FFFFFF" w:themeColor="background1"/>
                <w:sz w:val="36"/>
                <w:szCs w:val="36"/>
              </w:rPr>
            </w:pPr>
            <w:r w:rsidRPr="00E97B57">
              <w:rPr>
                <w:rStyle w:val="Hyperlink"/>
                <w:rFonts w:ascii="Symbol" w:hAnsi="Symbol"/>
                <w:b/>
                <w:bCs/>
                <w:color w:val="FFFFFF" w:themeColor="background1"/>
                <w:sz w:val="36"/>
                <w:szCs w:val="36"/>
              </w:rPr>
              <w:lastRenderedPageBreak/>
              <w:t></w:t>
            </w:r>
            <w:r w:rsidRPr="00E97B57">
              <w:rPr>
                <w:rStyle w:val="Hyperlink"/>
                <w:rFonts w:ascii="Times New Roman" w:hAnsi="Times New Roman" w:cs="Times New Roman"/>
                <w:b/>
                <w:bCs/>
                <w:color w:val="FFFFFF" w:themeColor="background1"/>
                <w:sz w:val="36"/>
                <w:szCs w:val="36"/>
              </w:rPr>
              <w:t> </w:t>
            </w:r>
            <w:proofErr w:type="spellStart"/>
            <w:r>
              <w:rPr>
                <w:rStyle w:val="Hyperlink"/>
                <w:rFonts w:ascii="Calibri" w:hAnsi="Calibri"/>
                <w:b/>
                <w:bCs/>
                <w:color w:val="FFFFFF" w:themeColor="background1"/>
                <w:sz w:val="36"/>
                <w:szCs w:val="36"/>
              </w:rPr>
              <w:t>Homespace</w:t>
            </w:r>
            <w:proofErr w:type="spellEnd"/>
            <w:r>
              <w:rPr>
                <w:rStyle w:val="Hyperlink"/>
                <w:rFonts w:ascii="Calibri" w:hAnsi="Calibri"/>
                <w:b/>
                <w:bCs/>
                <w:color w:val="FFFFFF" w:themeColor="background1"/>
                <w:sz w:val="36"/>
                <w:szCs w:val="36"/>
              </w:rPr>
              <w:t xml:space="preserve"> Forum</w:t>
            </w:r>
            <w:r>
              <w:rPr>
                <w:rStyle w:val="Hyperlink"/>
                <w:rFonts w:ascii="Symbol" w:hAnsi="Symbol"/>
                <w:b/>
                <w:bCs/>
                <w:color w:val="FFFFFF" w:themeColor="background1"/>
                <w:sz w:val="36"/>
                <w:szCs w:val="36"/>
              </w:rPr>
              <w:t></w:t>
            </w:r>
            <w:r>
              <w:rPr>
                <w:rStyle w:val="Hyperlink"/>
                <w:rFonts w:ascii="Symbol" w:hAnsi="Symbol"/>
                <w:b/>
                <w:bCs/>
                <w:color w:val="FFFFFF" w:themeColor="background1"/>
                <w:sz w:val="36"/>
                <w:szCs w:val="36"/>
              </w:rPr>
              <w:t></w:t>
            </w:r>
          </w:p>
        </w:tc>
        <w:tc>
          <w:tcPr>
            <w:tcW w:w="6638" w:type="dxa"/>
            <w:tcBorders>
              <w:top w:val="single" w:sz="4" w:space="0" w:color="auto"/>
              <w:left w:val="nil"/>
              <w:bottom w:val="single" w:sz="8" w:space="0" w:color="auto"/>
              <w:right w:val="nil"/>
            </w:tcBorders>
            <w:tcMar>
              <w:top w:w="0" w:type="dxa"/>
              <w:left w:w="108" w:type="dxa"/>
              <w:bottom w:w="0" w:type="dxa"/>
              <w:right w:w="108" w:type="dxa"/>
            </w:tcMar>
          </w:tcPr>
          <w:p w14:paraId="1D4391BE" w14:textId="6DCF5266" w:rsidR="004B5752" w:rsidRPr="004B5752" w:rsidRDefault="004B5752" w:rsidP="004B5752">
            <w:pPr>
              <w:pStyle w:val="TableofContentsEntry"/>
              <w:spacing w:after="0" w:line="276" w:lineRule="auto"/>
              <w:ind w:left="0" w:firstLine="0"/>
              <w:rPr>
                <w:rStyle w:val="Hyperlink"/>
                <w:rFonts w:ascii="Corbel" w:hAnsi="Corbel" w:cstheme="minorHAnsi"/>
                <w:color w:val="1F3864" w:themeColor="accent1" w:themeShade="80"/>
                <w:sz w:val="32"/>
                <w:szCs w:val="32"/>
              </w:rPr>
            </w:pPr>
            <w:r w:rsidRPr="004B5752">
              <w:rPr>
                <w:rStyle w:val="Hyperlink"/>
                <w:rFonts w:ascii="Corbel" w:hAnsi="Corbel" w:cstheme="minorHAnsi"/>
                <w:color w:val="1F3864" w:themeColor="accent1" w:themeShade="80"/>
                <w:sz w:val="32"/>
                <w:szCs w:val="32"/>
              </w:rPr>
              <w:t>Home &amp; Community Health Association Forum</w:t>
            </w:r>
          </w:p>
          <w:p w14:paraId="37EFEE80" w14:textId="0697B8F4" w:rsidR="00D81B65" w:rsidRDefault="004B5752" w:rsidP="004B5752">
            <w:pPr>
              <w:pStyle w:val="TableofContentsEntry"/>
              <w:spacing w:after="0" w:line="276" w:lineRule="auto"/>
              <w:ind w:left="0" w:firstLine="0"/>
              <w:rPr>
                <w:rStyle w:val="Hyperlink"/>
                <w:rFonts w:ascii="Times New Roman" w:hAnsi="Times New Roman" w:cs="Times New Roman"/>
                <w:color w:val="auto"/>
                <w:sz w:val="22"/>
                <w:szCs w:val="22"/>
              </w:rPr>
            </w:pPr>
            <w:r>
              <w:rPr>
                <w:rStyle w:val="Hyperlink"/>
                <w:rFonts w:ascii="Times New Roman" w:hAnsi="Times New Roman" w:cs="Times New Roman"/>
                <w:color w:val="auto"/>
                <w:sz w:val="22"/>
                <w:szCs w:val="22"/>
              </w:rPr>
              <w:t>A Home and Community Health Association (Homespace) Forum has been scheduled for 20</w:t>
            </w:r>
            <w:r w:rsidR="006472D4">
              <w:rPr>
                <w:rStyle w:val="Hyperlink"/>
                <w:rFonts w:ascii="Times New Roman" w:hAnsi="Times New Roman" w:cs="Times New Roman"/>
                <w:color w:val="auto"/>
                <w:sz w:val="22"/>
                <w:szCs w:val="22"/>
              </w:rPr>
              <w:t xml:space="preserve"> </w:t>
            </w:r>
            <w:r>
              <w:rPr>
                <w:rStyle w:val="Hyperlink"/>
                <w:rFonts w:ascii="Times New Roman" w:hAnsi="Times New Roman" w:cs="Times New Roman"/>
                <w:color w:val="auto"/>
                <w:sz w:val="22"/>
                <w:szCs w:val="22"/>
              </w:rPr>
              <w:t xml:space="preserve">November 2019; please keep your diaries free </w:t>
            </w:r>
            <w:r w:rsidR="001E2C6A">
              <w:rPr>
                <w:rStyle w:val="Hyperlink"/>
                <w:rFonts w:ascii="Times New Roman" w:hAnsi="Times New Roman" w:cs="Times New Roman"/>
                <w:color w:val="auto"/>
                <w:sz w:val="22"/>
                <w:szCs w:val="22"/>
              </w:rPr>
              <w:t>on</w:t>
            </w:r>
            <w:r>
              <w:rPr>
                <w:rStyle w:val="Hyperlink"/>
                <w:rFonts w:ascii="Times New Roman" w:hAnsi="Times New Roman" w:cs="Times New Roman"/>
                <w:color w:val="auto"/>
                <w:sz w:val="22"/>
                <w:szCs w:val="22"/>
              </w:rPr>
              <w:t xml:space="preserve"> this date.</w:t>
            </w:r>
            <w:bookmarkStart w:id="0" w:name="_GoBack"/>
            <w:bookmarkEnd w:id="0"/>
          </w:p>
          <w:p w14:paraId="767D5A48" w14:textId="77777777" w:rsidR="004B5752" w:rsidRDefault="004B5752" w:rsidP="004B5752">
            <w:pPr>
              <w:pStyle w:val="TableofContentsEntry"/>
              <w:spacing w:after="0" w:line="276" w:lineRule="auto"/>
              <w:ind w:left="0" w:firstLine="0"/>
              <w:rPr>
                <w:rStyle w:val="Hyperlink"/>
                <w:rFonts w:ascii="Times New Roman" w:hAnsi="Times New Roman" w:cs="Times New Roman"/>
                <w:color w:val="auto"/>
                <w:sz w:val="22"/>
                <w:szCs w:val="22"/>
              </w:rPr>
            </w:pPr>
          </w:p>
          <w:p w14:paraId="62A66AB7" w14:textId="74788A65" w:rsidR="00AD12BB" w:rsidRDefault="004B5752" w:rsidP="004B5752">
            <w:pPr>
              <w:pStyle w:val="TableofContentsEntry"/>
              <w:spacing w:after="0" w:line="276" w:lineRule="auto"/>
              <w:ind w:left="0" w:firstLine="0"/>
              <w:rPr>
                <w:rStyle w:val="Hyperlink"/>
                <w:rFonts w:ascii="Times New Roman" w:hAnsi="Times New Roman" w:cs="Times New Roman"/>
                <w:color w:val="auto"/>
                <w:sz w:val="22"/>
                <w:szCs w:val="22"/>
              </w:rPr>
            </w:pPr>
            <w:r>
              <w:rPr>
                <w:rStyle w:val="Hyperlink"/>
                <w:rFonts w:ascii="Times New Roman" w:hAnsi="Times New Roman" w:cs="Times New Roman"/>
                <w:color w:val="auto"/>
                <w:sz w:val="22"/>
                <w:szCs w:val="22"/>
              </w:rPr>
              <w:t xml:space="preserve">This event will feature our </w:t>
            </w:r>
            <w:r w:rsidR="00AD12BB" w:rsidRPr="00AD12BB">
              <w:rPr>
                <w:rStyle w:val="Hyperlink"/>
                <w:rFonts w:ascii="Times New Roman" w:hAnsi="Times New Roman" w:cs="Times New Roman"/>
                <w:i/>
                <w:iCs/>
                <w:color w:val="auto"/>
                <w:sz w:val="22"/>
                <w:szCs w:val="22"/>
              </w:rPr>
              <w:t>HCHA/ACC Home and Community Health and Safety Report</w:t>
            </w:r>
            <w:r w:rsidR="00AD12BB">
              <w:rPr>
                <w:rStyle w:val="Hyperlink"/>
                <w:rFonts w:ascii="Times New Roman" w:hAnsi="Times New Roman" w:cs="Times New Roman"/>
                <w:color w:val="auto"/>
                <w:sz w:val="22"/>
                <w:szCs w:val="22"/>
              </w:rPr>
              <w:t>, the EY Report “</w:t>
            </w:r>
            <w:r w:rsidR="00AD12BB" w:rsidRPr="00AD12BB">
              <w:rPr>
                <w:rStyle w:val="Hyperlink"/>
                <w:rFonts w:ascii="Times New Roman" w:hAnsi="Times New Roman" w:cs="Times New Roman"/>
                <w:i/>
                <w:iCs/>
                <w:color w:val="auto"/>
                <w:sz w:val="22"/>
                <w:szCs w:val="22"/>
              </w:rPr>
              <w:t>The Contribution of the Home and Community Sector to New Zealand</w:t>
            </w:r>
            <w:r w:rsidR="00AD12BB">
              <w:rPr>
                <w:rStyle w:val="Hyperlink"/>
                <w:rFonts w:ascii="Times New Roman" w:hAnsi="Times New Roman" w:cs="Times New Roman"/>
                <w:color w:val="auto"/>
                <w:sz w:val="22"/>
                <w:szCs w:val="22"/>
              </w:rPr>
              <w:t>”, plus other issues of importance to the sector. This forum will also incorporate the Annual General Meeting of the Association.</w:t>
            </w:r>
          </w:p>
          <w:p w14:paraId="59E18545" w14:textId="77777777" w:rsidR="00AD12BB" w:rsidRDefault="00AD12BB" w:rsidP="004B5752">
            <w:pPr>
              <w:pStyle w:val="TableofContentsEntry"/>
              <w:spacing w:after="0" w:line="276" w:lineRule="auto"/>
              <w:ind w:left="0" w:firstLine="0"/>
              <w:rPr>
                <w:rStyle w:val="Hyperlink"/>
                <w:rFonts w:ascii="Times New Roman" w:hAnsi="Times New Roman" w:cs="Times New Roman"/>
                <w:color w:val="auto"/>
                <w:sz w:val="22"/>
                <w:szCs w:val="22"/>
              </w:rPr>
            </w:pPr>
          </w:p>
          <w:p w14:paraId="5ADA5C28" w14:textId="2CAD9859" w:rsidR="00AD12BB" w:rsidRDefault="00AD12BB" w:rsidP="004B5752">
            <w:pPr>
              <w:pStyle w:val="TableofContentsEntry"/>
              <w:spacing w:after="0" w:line="276" w:lineRule="auto"/>
              <w:ind w:left="0" w:firstLine="0"/>
              <w:rPr>
                <w:rStyle w:val="Hyperlink"/>
                <w:rFonts w:ascii="Times New Roman" w:hAnsi="Times New Roman" w:cs="Times New Roman"/>
                <w:color w:val="auto"/>
                <w:sz w:val="22"/>
                <w:szCs w:val="22"/>
              </w:rPr>
            </w:pPr>
            <w:r>
              <w:rPr>
                <w:rStyle w:val="Hyperlink"/>
                <w:rFonts w:ascii="Times New Roman" w:hAnsi="Times New Roman" w:cs="Times New Roman"/>
                <w:color w:val="auto"/>
                <w:sz w:val="22"/>
                <w:szCs w:val="22"/>
              </w:rPr>
              <w:t>Further details will be provided over coming weeks.</w:t>
            </w:r>
          </w:p>
          <w:p w14:paraId="4614502B" w14:textId="4644DCE0" w:rsidR="004B5752" w:rsidRPr="004B5752" w:rsidRDefault="00AD12BB" w:rsidP="004B5752">
            <w:pPr>
              <w:pStyle w:val="TableofContentsEntry"/>
              <w:spacing w:after="0" w:line="276" w:lineRule="auto"/>
              <w:ind w:left="0" w:firstLine="0"/>
              <w:rPr>
                <w:rStyle w:val="Hyperlink"/>
                <w:rFonts w:ascii="Times New Roman" w:hAnsi="Times New Roman" w:cs="Times New Roman"/>
                <w:color w:val="auto"/>
                <w:sz w:val="22"/>
                <w:szCs w:val="22"/>
              </w:rPr>
            </w:pPr>
            <w:r>
              <w:rPr>
                <w:rStyle w:val="Hyperlink"/>
                <w:rFonts w:ascii="Times New Roman" w:hAnsi="Times New Roman" w:cs="Times New Roman"/>
                <w:color w:val="auto"/>
                <w:sz w:val="22"/>
                <w:szCs w:val="22"/>
              </w:rPr>
              <w:t xml:space="preserve"> </w:t>
            </w:r>
          </w:p>
        </w:tc>
      </w:tr>
    </w:tbl>
    <w:p w14:paraId="4E0C1D1E" w14:textId="77777777" w:rsidR="00D779AA" w:rsidRPr="001F3785" w:rsidRDefault="00D779AA" w:rsidP="001F3785"/>
    <w:sectPr w:rsidR="00D779AA" w:rsidRPr="001F37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BFA07" w14:textId="77777777" w:rsidR="004E7F0F" w:rsidRDefault="004E7F0F" w:rsidP="00AD12BB">
      <w:r>
        <w:separator/>
      </w:r>
    </w:p>
  </w:endnote>
  <w:endnote w:type="continuationSeparator" w:id="0">
    <w:p w14:paraId="21B0793C" w14:textId="77777777" w:rsidR="004E7F0F" w:rsidRDefault="004E7F0F" w:rsidP="00AD12BB">
      <w:r>
        <w:continuationSeparator/>
      </w:r>
    </w:p>
  </w:endnote>
  <w:endnote w:type="continuationNotice" w:id="1">
    <w:p w14:paraId="3221EF10" w14:textId="77777777" w:rsidR="004E7F0F" w:rsidRDefault="004E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488775"/>
      <w:docPartObj>
        <w:docPartGallery w:val="Page Numbers (Bottom of Page)"/>
        <w:docPartUnique/>
      </w:docPartObj>
    </w:sdtPr>
    <w:sdtEndPr>
      <w:rPr>
        <w:noProof/>
      </w:rPr>
    </w:sdtEndPr>
    <w:sdtContent>
      <w:p w14:paraId="3822CFAB" w14:textId="65EA23CB" w:rsidR="00AD12BB" w:rsidRDefault="00AD12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CF600" w14:textId="77777777" w:rsidR="00AD12BB" w:rsidRDefault="00AD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0030" w14:textId="77777777" w:rsidR="004E7F0F" w:rsidRDefault="004E7F0F" w:rsidP="00AD12BB">
      <w:r>
        <w:separator/>
      </w:r>
    </w:p>
  </w:footnote>
  <w:footnote w:type="continuationSeparator" w:id="0">
    <w:p w14:paraId="7BD4D0A8" w14:textId="77777777" w:rsidR="004E7F0F" w:rsidRDefault="004E7F0F" w:rsidP="00AD12BB">
      <w:r>
        <w:continuationSeparator/>
      </w:r>
    </w:p>
  </w:footnote>
  <w:footnote w:type="continuationNotice" w:id="1">
    <w:p w14:paraId="26DF9FDC" w14:textId="77777777" w:rsidR="004E7F0F" w:rsidRDefault="004E7F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ECD"/>
    <w:multiLevelType w:val="hybridMultilevel"/>
    <w:tmpl w:val="A6F8177C"/>
    <w:lvl w:ilvl="0" w:tplc="907EB282">
      <w:start w:val="12"/>
      <w:numFmt w:val="bullet"/>
      <w:lvlText w:val="-"/>
      <w:lvlJc w:val="left"/>
      <w:pPr>
        <w:ind w:left="720" w:hanging="360"/>
      </w:pPr>
      <w:rPr>
        <w:rFonts w:ascii="Calibri" w:eastAsia="Times New Roman" w:hAnsi="Calibri" w:cs="Calibri" w:hint="default"/>
      </w:rPr>
    </w:lvl>
    <w:lvl w:ilvl="1" w:tplc="907EB282">
      <w:start w:val="1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736B5"/>
    <w:multiLevelType w:val="hybridMultilevel"/>
    <w:tmpl w:val="11C409F8"/>
    <w:lvl w:ilvl="0" w:tplc="E56E2ED8">
      <w:start w:val="1"/>
      <w:numFmt w:val="decimal"/>
      <w:lvlText w:val="%1."/>
      <w:lvlJc w:val="left"/>
      <w:pPr>
        <w:ind w:left="360" w:hanging="360"/>
      </w:pPr>
      <w:rPr>
        <w:rFonts w:hint="default"/>
        <w:b w:val="0"/>
        <w:bCs/>
      </w:rPr>
    </w:lvl>
    <w:lvl w:ilvl="1" w:tplc="0F0491EA">
      <w:start w:val="1"/>
      <w:numFmt w:val="lowerLetter"/>
      <w:lvlText w:val="%2."/>
      <w:lvlJc w:val="left"/>
      <w:pPr>
        <w:ind w:left="1080" w:hanging="360"/>
      </w:pPr>
      <w:rPr>
        <w:rFonts w:ascii="Calibri" w:eastAsia="Times New Roman" w:hAnsi="Calibri" w:cs="Calibri"/>
        <w:b w:val="0"/>
        <w:bCs/>
        <w:i w:val="0"/>
        <w:iCs/>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1219E2"/>
    <w:multiLevelType w:val="hybridMultilevel"/>
    <w:tmpl w:val="5E041212"/>
    <w:lvl w:ilvl="0" w:tplc="907EB282">
      <w:start w:val="12"/>
      <w:numFmt w:val="bullet"/>
      <w:lvlText w:val="-"/>
      <w:lvlJc w:val="left"/>
      <w:pPr>
        <w:ind w:left="720" w:hanging="360"/>
      </w:pPr>
      <w:rPr>
        <w:rFonts w:ascii="Calibri" w:eastAsia="Times New Roman" w:hAnsi="Calibri" w:cs="Calibri" w:hint="default"/>
      </w:rPr>
    </w:lvl>
    <w:lvl w:ilvl="1" w:tplc="907EB282">
      <w:start w:val="1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A4D8D"/>
    <w:multiLevelType w:val="hybridMultilevel"/>
    <w:tmpl w:val="7BBC4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878686E"/>
    <w:multiLevelType w:val="multilevel"/>
    <w:tmpl w:val="3924A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B01050"/>
    <w:multiLevelType w:val="hybridMultilevel"/>
    <w:tmpl w:val="15801EB6"/>
    <w:lvl w:ilvl="0" w:tplc="45F05CAE">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3100F"/>
    <w:multiLevelType w:val="multilevel"/>
    <w:tmpl w:val="7166C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9274FB"/>
    <w:multiLevelType w:val="multilevel"/>
    <w:tmpl w:val="2732E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FE7C28"/>
    <w:multiLevelType w:val="hybridMultilevel"/>
    <w:tmpl w:val="BB820E00"/>
    <w:lvl w:ilvl="0" w:tplc="907EB282">
      <w:start w:val="12"/>
      <w:numFmt w:val="bullet"/>
      <w:lvlText w:val="-"/>
      <w:lvlJc w:val="left"/>
      <w:pPr>
        <w:ind w:left="720" w:hanging="360"/>
      </w:pPr>
      <w:rPr>
        <w:rFonts w:ascii="Calibri" w:eastAsia="Times New Roman" w:hAnsi="Calibri" w:cs="Calibri" w:hint="default"/>
      </w:rPr>
    </w:lvl>
    <w:lvl w:ilvl="1" w:tplc="907EB282">
      <w:start w:val="1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5401B"/>
    <w:multiLevelType w:val="hybridMultilevel"/>
    <w:tmpl w:val="01C6523C"/>
    <w:lvl w:ilvl="0" w:tplc="907EB282">
      <w:start w:val="1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477CB"/>
    <w:multiLevelType w:val="multilevel"/>
    <w:tmpl w:val="DFDC8BF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1" w15:restartNumberingAfterBreak="0">
    <w:nsid w:val="73A7245E"/>
    <w:multiLevelType w:val="hybridMultilevel"/>
    <w:tmpl w:val="B15A4114"/>
    <w:lvl w:ilvl="0" w:tplc="907EB282">
      <w:start w:val="12"/>
      <w:numFmt w:val="bullet"/>
      <w:lvlText w:val="-"/>
      <w:lvlJc w:val="left"/>
      <w:pPr>
        <w:ind w:left="720" w:hanging="360"/>
      </w:pPr>
      <w:rPr>
        <w:rFonts w:ascii="Calibri" w:eastAsia="Times New Roman" w:hAnsi="Calibri" w:cs="Calibri" w:hint="default"/>
      </w:rPr>
    </w:lvl>
    <w:lvl w:ilvl="1" w:tplc="907EB282">
      <w:start w:val="12"/>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0"/>
  </w:num>
  <w:num w:numId="6">
    <w:abstractNumId w:val="5"/>
  </w:num>
  <w:num w:numId="7">
    <w:abstractNumId w:val="1"/>
  </w:num>
  <w:num w:numId="8">
    <w:abstractNumId w:val="0"/>
  </w:num>
  <w:num w:numId="9">
    <w:abstractNumId w:val="1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85"/>
    <w:rsid w:val="0000129A"/>
    <w:rsid w:val="0001098D"/>
    <w:rsid w:val="000150B9"/>
    <w:rsid w:val="00015EBB"/>
    <w:rsid w:val="00024FCB"/>
    <w:rsid w:val="00030B2F"/>
    <w:rsid w:val="00031DEB"/>
    <w:rsid w:val="0005679E"/>
    <w:rsid w:val="0006779E"/>
    <w:rsid w:val="00070369"/>
    <w:rsid w:val="00094D41"/>
    <w:rsid w:val="000954A5"/>
    <w:rsid w:val="00095CC0"/>
    <w:rsid w:val="000B5403"/>
    <w:rsid w:val="000F3A41"/>
    <w:rsid w:val="001136D7"/>
    <w:rsid w:val="001317A9"/>
    <w:rsid w:val="00135457"/>
    <w:rsid w:val="001417DF"/>
    <w:rsid w:val="00164BC0"/>
    <w:rsid w:val="00165196"/>
    <w:rsid w:val="00170F53"/>
    <w:rsid w:val="00180E00"/>
    <w:rsid w:val="0019216F"/>
    <w:rsid w:val="001A6450"/>
    <w:rsid w:val="001D009B"/>
    <w:rsid w:val="001D05F5"/>
    <w:rsid w:val="001D1C12"/>
    <w:rsid w:val="001D49FD"/>
    <w:rsid w:val="001E28D7"/>
    <w:rsid w:val="001E2C6A"/>
    <w:rsid w:val="001F3785"/>
    <w:rsid w:val="001F4DE0"/>
    <w:rsid w:val="002034A1"/>
    <w:rsid w:val="00211EB1"/>
    <w:rsid w:val="00215E21"/>
    <w:rsid w:val="002170C9"/>
    <w:rsid w:val="00226C3B"/>
    <w:rsid w:val="0023046A"/>
    <w:rsid w:val="00230931"/>
    <w:rsid w:val="002341FF"/>
    <w:rsid w:val="0024494B"/>
    <w:rsid w:val="00250F1A"/>
    <w:rsid w:val="00294474"/>
    <w:rsid w:val="00294F8A"/>
    <w:rsid w:val="002A5024"/>
    <w:rsid w:val="002D69E7"/>
    <w:rsid w:val="002E0989"/>
    <w:rsid w:val="002F5969"/>
    <w:rsid w:val="00326D62"/>
    <w:rsid w:val="00331525"/>
    <w:rsid w:val="00375A25"/>
    <w:rsid w:val="00377863"/>
    <w:rsid w:val="003A1212"/>
    <w:rsid w:val="003A6D2B"/>
    <w:rsid w:val="003B0C1F"/>
    <w:rsid w:val="003C076C"/>
    <w:rsid w:val="003C0C0E"/>
    <w:rsid w:val="003C58E0"/>
    <w:rsid w:val="003D3FCD"/>
    <w:rsid w:val="003E7319"/>
    <w:rsid w:val="003F5011"/>
    <w:rsid w:val="00427AF3"/>
    <w:rsid w:val="004334CA"/>
    <w:rsid w:val="00446BE3"/>
    <w:rsid w:val="004515E0"/>
    <w:rsid w:val="00452643"/>
    <w:rsid w:val="00457E27"/>
    <w:rsid w:val="004621AF"/>
    <w:rsid w:val="00472F6C"/>
    <w:rsid w:val="00493E2B"/>
    <w:rsid w:val="0049521D"/>
    <w:rsid w:val="004A69EC"/>
    <w:rsid w:val="004B5752"/>
    <w:rsid w:val="004B7F9D"/>
    <w:rsid w:val="004D236B"/>
    <w:rsid w:val="004E0574"/>
    <w:rsid w:val="004E2A5B"/>
    <w:rsid w:val="004E7F0F"/>
    <w:rsid w:val="004F5D35"/>
    <w:rsid w:val="00524967"/>
    <w:rsid w:val="00544497"/>
    <w:rsid w:val="00544B55"/>
    <w:rsid w:val="0054787F"/>
    <w:rsid w:val="00562EFF"/>
    <w:rsid w:val="00564D98"/>
    <w:rsid w:val="0058042E"/>
    <w:rsid w:val="005A0CF1"/>
    <w:rsid w:val="005A5167"/>
    <w:rsid w:val="005C4D0C"/>
    <w:rsid w:val="005C5239"/>
    <w:rsid w:val="005F45E5"/>
    <w:rsid w:val="00602713"/>
    <w:rsid w:val="00637A8B"/>
    <w:rsid w:val="006414B9"/>
    <w:rsid w:val="006472D4"/>
    <w:rsid w:val="00655898"/>
    <w:rsid w:val="00671A91"/>
    <w:rsid w:val="006947CD"/>
    <w:rsid w:val="0070393B"/>
    <w:rsid w:val="00703D6A"/>
    <w:rsid w:val="007135A7"/>
    <w:rsid w:val="00717060"/>
    <w:rsid w:val="007213CA"/>
    <w:rsid w:val="00742945"/>
    <w:rsid w:val="007451E5"/>
    <w:rsid w:val="00773E43"/>
    <w:rsid w:val="00775FE8"/>
    <w:rsid w:val="00784051"/>
    <w:rsid w:val="00796D1B"/>
    <w:rsid w:val="007A1C65"/>
    <w:rsid w:val="007D593B"/>
    <w:rsid w:val="007E0D3B"/>
    <w:rsid w:val="007F5D5C"/>
    <w:rsid w:val="008245F7"/>
    <w:rsid w:val="00825315"/>
    <w:rsid w:val="00825B79"/>
    <w:rsid w:val="00850FE8"/>
    <w:rsid w:val="0087185D"/>
    <w:rsid w:val="00887DA4"/>
    <w:rsid w:val="008A3CD6"/>
    <w:rsid w:val="008E31B2"/>
    <w:rsid w:val="008F51BE"/>
    <w:rsid w:val="00902B70"/>
    <w:rsid w:val="00911AE7"/>
    <w:rsid w:val="009627AA"/>
    <w:rsid w:val="009715AA"/>
    <w:rsid w:val="009901C6"/>
    <w:rsid w:val="0099071C"/>
    <w:rsid w:val="009A5C8F"/>
    <w:rsid w:val="009A6D61"/>
    <w:rsid w:val="009B3445"/>
    <w:rsid w:val="009E478C"/>
    <w:rsid w:val="00A05293"/>
    <w:rsid w:val="00A07A4B"/>
    <w:rsid w:val="00A665EC"/>
    <w:rsid w:val="00A7304D"/>
    <w:rsid w:val="00A85167"/>
    <w:rsid w:val="00A93DD8"/>
    <w:rsid w:val="00AD12BB"/>
    <w:rsid w:val="00AE40E1"/>
    <w:rsid w:val="00AF79F6"/>
    <w:rsid w:val="00B027AD"/>
    <w:rsid w:val="00B17B87"/>
    <w:rsid w:val="00B2307F"/>
    <w:rsid w:val="00B4473B"/>
    <w:rsid w:val="00B603FC"/>
    <w:rsid w:val="00B62E7A"/>
    <w:rsid w:val="00B76F83"/>
    <w:rsid w:val="00B82103"/>
    <w:rsid w:val="00B85D23"/>
    <w:rsid w:val="00BA6803"/>
    <w:rsid w:val="00BC7AAD"/>
    <w:rsid w:val="00BD77AA"/>
    <w:rsid w:val="00BE02EB"/>
    <w:rsid w:val="00BF244E"/>
    <w:rsid w:val="00BF5B33"/>
    <w:rsid w:val="00C12D67"/>
    <w:rsid w:val="00C200E1"/>
    <w:rsid w:val="00C34CB7"/>
    <w:rsid w:val="00C50997"/>
    <w:rsid w:val="00C51853"/>
    <w:rsid w:val="00C54DD0"/>
    <w:rsid w:val="00C81FDF"/>
    <w:rsid w:val="00CA1CD3"/>
    <w:rsid w:val="00CA75F8"/>
    <w:rsid w:val="00CB694A"/>
    <w:rsid w:val="00CC292B"/>
    <w:rsid w:val="00CC455C"/>
    <w:rsid w:val="00CE4865"/>
    <w:rsid w:val="00CF2411"/>
    <w:rsid w:val="00D13587"/>
    <w:rsid w:val="00D16DAD"/>
    <w:rsid w:val="00D20279"/>
    <w:rsid w:val="00D250E2"/>
    <w:rsid w:val="00D31441"/>
    <w:rsid w:val="00D5187C"/>
    <w:rsid w:val="00D6721E"/>
    <w:rsid w:val="00D70515"/>
    <w:rsid w:val="00D779AA"/>
    <w:rsid w:val="00D8094E"/>
    <w:rsid w:val="00D80E91"/>
    <w:rsid w:val="00D81B65"/>
    <w:rsid w:val="00DB0319"/>
    <w:rsid w:val="00DB24DF"/>
    <w:rsid w:val="00DC1286"/>
    <w:rsid w:val="00DC4D02"/>
    <w:rsid w:val="00DE589D"/>
    <w:rsid w:val="00DF30E5"/>
    <w:rsid w:val="00DF7B2C"/>
    <w:rsid w:val="00E13B88"/>
    <w:rsid w:val="00E5567F"/>
    <w:rsid w:val="00E55E5F"/>
    <w:rsid w:val="00E6057E"/>
    <w:rsid w:val="00E65149"/>
    <w:rsid w:val="00E86271"/>
    <w:rsid w:val="00E9015C"/>
    <w:rsid w:val="00E92AE1"/>
    <w:rsid w:val="00E97B57"/>
    <w:rsid w:val="00EC0339"/>
    <w:rsid w:val="00EC5EDE"/>
    <w:rsid w:val="00ED3AC4"/>
    <w:rsid w:val="00EE4B29"/>
    <w:rsid w:val="00EE4DB3"/>
    <w:rsid w:val="00EE630F"/>
    <w:rsid w:val="00F25369"/>
    <w:rsid w:val="00F37D5C"/>
    <w:rsid w:val="00F70039"/>
    <w:rsid w:val="00FA07E7"/>
    <w:rsid w:val="00FB476E"/>
    <w:rsid w:val="00FC1B75"/>
    <w:rsid w:val="00FD3852"/>
    <w:rsid w:val="00FF2A98"/>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A018"/>
  <w15:chartTrackingRefBased/>
  <w15:docId w15:val="{8E79E365-E00F-498E-BD67-6DFF01A6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785"/>
    <w:pPr>
      <w:spacing w:after="0" w:line="240" w:lineRule="auto"/>
    </w:pPr>
    <w:rPr>
      <w:rFonts w:ascii="Georgia" w:hAnsi="Georgia" w:cs="Calibri"/>
      <w:sz w:val="24"/>
      <w:szCs w:val="24"/>
    </w:rPr>
  </w:style>
  <w:style w:type="paragraph" w:styleId="Heading2">
    <w:name w:val="heading 2"/>
    <w:basedOn w:val="Normal"/>
    <w:link w:val="Heading2Char"/>
    <w:uiPriority w:val="1"/>
    <w:semiHidden/>
    <w:unhideWhenUsed/>
    <w:qFormat/>
    <w:rsid w:val="001F3785"/>
    <w:pPr>
      <w:keepNext/>
      <w:spacing w:before="240"/>
      <w:outlineLvl w:val="1"/>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1F3785"/>
    <w:rPr>
      <w:rFonts w:ascii="Georgia" w:hAnsi="Georgia" w:cs="Calibri"/>
      <w:color w:val="000000"/>
      <w:sz w:val="36"/>
      <w:szCs w:val="36"/>
    </w:rPr>
  </w:style>
  <w:style w:type="character" w:styleId="Hyperlink">
    <w:name w:val="Hyperlink"/>
    <w:basedOn w:val="DefaultParagraphFont"/>
    <w:uiPriority w:val="99"/>
    <w:unhideWhenUsed/>
    <w:rsid w:val="001F3785"/>
    <w:rPr>
      <w:rFonts w:ascii="Verdana" w:hAnsi="Verdana" w:hint="default"/>
      <w:strike w:val="0"/>
      <w:dstrike w:val="0"/>
      <w:color w:val="99CCFF"/>
      <w:u w:val="none"/>
      <w:effect w:val="none"/>
    </w:rPr>
  </w:style>
  <w:style w:type="paragraph" w:styleId="NormalWeb">
    <w:name w:val="Normal (Web)"/>
    <w:basedOn w:val="Normal"/>
    <w:uiPriority w:val="99"/>
    <w:unhideWhenUsed/>
    <w:rsid w:val="001F3785"/>
    <w:pPr>
      <w:spacing w:before="100" w:beforeAutospacing="1" w:after="100" w:afterAutospacing="1"/>
    </w:pPr>
    <w:rPr>
      <w:rFonts w:ascii="Calibri" w:hAnsi="Calibri"/>
      <w:sz w:val="22"/>
      <w:szCs w:val="22"/>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1F3785"/>
    <w:rPr>
      <w:rFonts w:ascii="Calibri" w:hAnsi="Calibri" w:cs="Calibri"/>
    </w:rPr>
  </w:style>
  <w:style w:type="paragraph" w:styleId="ListParagraph">
    <w:name w:val="List Paragraph"/>
    <w:aliases w:val="Bullet Normal,Colorful List - Accent 11,List Paragraph numbered,List Paragraph1,List Bullet indent"/>
    <w:basedOn w:val="Normal"/>
    <w:link w:val="ListParagraphChar"/>
    <w:uiPriority w:val="34"/>
    <w:qFormat/>
    <w:rsid w:val="001F3785"/>
    <w:pPr>
      <w:ind w:left="720"/>
    </w:pPr>
    <w:rPr>
      <w:rFonts w:ascii="Calibri" w:hAnsi="Calibri"/>
      <w:sz w:val="22"/>
      <w:szCs w:val="22"/>
    </w:rPr>
  </w:style>
  <w:style w:type="paragraph" w:customStyle="1" w:styleId="TableofContentsHeading">
    <w:name w:val="Table of Contents Heading"/>
    <w:basedOn w:val="Normal"/>
    <w:uiPriority w:val="99"/>
    <w:semiHidden/>
    <w:rsid w:val="001F3785"/>
    <w:pPr>
      <w:spacing w:before="240"/>
    </w:pPr>
    <w:rPr>
      <w:color w:val="FFF084"/>
      <w:sz w:val="32"/>
      <w:szCs w:val="32"/>
    </w:rPr>
  </w:style>
  <w:style w:type="paragraph" w:customStyle="1" w:styleId="TableofContentsEntry">
    <w:name w:val="Table of Contents Entry"/>
    <w:basedOn w:val="Normal"/>
    <w:uiPriority w:val="99"/>
    <w:semiHidden/>
    <w:rsid w:val="001F3785"/>
    <w:pPr>
      <w:spacing w:after="120"/>
      <w:ind w:left="216" w:hanging="216"/>
    </w:pPr>
    <w:rPr>
      <w:color w:val="FFFFFF"/>
      <w:sz w:val="20"/>
      <w:szCs w:val="20"/>
    </w:rPr>
  </w:style>
  <w:style w:type="paragraph" w:customStyle="1" w:styleId="element">
    <w:name w:val="element"/>
    <w:basedOn w:val="Normal"/>
    <w:uiPriority w:val="99"/>
    <w:semiHidden/>
    <w:rsid w:val="001F3785"/>
    <w:pPr>
      <w:spacing w:after="150"/>
    </w:pPr>
    <w:rPr>
      <w:rFonts w:ascii="Calibri" w:hAnsi="Calibri"/>
      <w:sz w:val="22"/>
      <w:szCs w:val="22"/>
    </w:rPr>
  </w:style>
  <w:style w:type="paragraph" w:customStyle="1" w:styleId="text5">
    <w:name w:val="text5"/>
    <w:basedOn w:val="Normal"/>
    <w:uiPriority w:val="99"/>
    <w:semiHidden/>
    <w:rsid w:val="001F3785"/>
    <w:pPr>
      <w:spacing w:before="83" w:after="216" w:line="288" w:lineRule="atLeast"/>
    </w:pPr>
    <w:rPr>
      <w:rFonts w:ascii="Calibri" w:hAnsi="Calibri"/>
      <w:sz w:val="22"/>
      <w:szCs w:val="22"/>
    </w:rPr>
  </w:style>
  <w:style w:type="character" w:styleId="UnresolvedMention">
    <w:name w:val="Unresolved Mention"/>
    <w:basedOn w:val="DefaultParagraphFont"/>
    <w:uiPriority w:val="99"/>
    <w:semiHidden/>
    <w:unhideWhenUsed/>
    <w:rsid w:val="00BF5B33"/>
    <w:rPr>
      <w:color w:val="605E5C"/>
      <w:shd w:val="clear" w:color="auto" w:fill="E1DFDD"/>
    </w:rPr>
  </w:style>
  <w:style w:type="character" w:styleId="FollowedHyperlink">
    <w:name w:val="FollowedHyperlink"/>
    <w:basedOn w:val="DefaultParagraphFont"/>
    <w:uiPriority w:val="99"/>
    <w:semiHidden/>
    <w:unhideWhenUsed/>
    <w:rsid w:val="004D236B"/>
    <w:rPr>
      <w:color w:val="954F72" w:themeColor="followedHyperlink"/>
      <w:u w:val="single"/>
    </w:rPr>
  </w:style>
  <w:style w:type="paragraph" w:customStyle="1" w:styleId="Default">
    <w:name w:val="Default"/>
    <w:rsid w:val="004D236B"/>
    <w:pPr>
      <w:autoSpaceDE w:val="0"/>
      <w:autoSpaceDN w:val="0"/>
      <w:adjustRightInd w:val="0"/>
      <w:spacing w:after="0" w:line="240" w:lineRule="auto"/>
    </w:pPr>
    <w:rPr>
      <w:rFonts w:ascii="Calibri" w:hAnsi="Calibri" w:cs="Calibri"/>
      <w:color w:val="000000"/>
      <w:sz w:val="24"/>
      <w:szCs w:val="24"/>
    </w:rPr>
  </w:style>
  <w:style w:type="paragraph" w:customStyle="1" w:styleId="Unknown0">
    <w:name w:val="Unknown 0"/>
    <w:rsid w:val="00D20279"/>
    <w:pPr>
      <w:spacing w:after="0" w:line="240" w:lineRule="auto"/>
      <w:outlineLvl w:val="0"/>
    </w:pPr>
    <w:rPr>
      <w:rFonts w:ascii="Times New Roman" w:eastAsia="Arial Unicode MS" w:hAnsi="Times New Roman" w:cs="Times New Roman"/>
      <w:color w:val="000000"/>
      <w:sz w:val="24"/>
      <w:szCs w:val="20"/>
      <w:u w:color="000000"/>
    </w:rPr>
  </w:style>
  <w:style w:type="table" w:customStyle="1" w:styleId="ListTable6Colorful1">
    <w:name w:val="List Table 6 Colorful1"/>
    <w:basedOn w:val="TableNormal"/>
    <w:uiPriority w:val="51"/>
    <w:rsid w:val="00564D98"/>
    <w:pPr>
      <w:spacing w:before="100"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D12BB"/>
    <w:pPr>
      <w:tabs>
        <w:tab w:val="center" w:pos="4513"/>
        <w:tab w:val="right" w:pos="9026"/>
      </w:tabs>
    </w:pPr>
  </w:style>
  <w:style w:type="character" w:customStyle="1" w:styleId="HeaderChar">
    <w:name w:val="Header Char"/>
    <w:basedOn w:val="DefaultParagraphFont"/>
    <w:link w:val="Header"/>
    <w:uiPriority w:val="99"/>
    <w:rsid w:val="00AD12BB"/>
    <w:rPr>
      <w:rFonts w:ascii="Georgia" w:hAnsi="Georgia" w:cs="Calibri"/>
      <w:sz w:val="24"/>
      <w:szCs w:val="24"/>
    </w:rPr>
  </w:style>
  <w:style w:type="paragraph" w:styleId="Footer">
    <w:name w:val="footer"/>
    <w:basedOn w:val="Normal"/>
    <w:link w:val="FooterChar"/>
    <w:uiPriority w:val="99"/>
    <w:unhideWhenUsed/>
    <w:rsid w:val="00AD12BB"/>
    <w:pPr>
      <w:tabs>
        <w:tab w:val="center" w:pos="4513"/>
        <w:tab w:val="right" w:pos="9026"/>
      </w:tabs>
    </w:pPr>
  </w:style>
  <w:style w:type="character" w:customStyle="1" w:styleId="FooterChar">
    <w:name w:val="Footer Char"/>
    <w:basedOn w:val="DefaultParagraphFont"/>
    <w:link w:val="Footer"/>
    <w:uiPriority w:val="99"/>
    <w:rsid w:val="00AD12BB"/>
    <w:rPr>
      <w:rFonts w:ascii="Georgia" w:hAnsi="Georgia" w:cs="Calibri"/>
      <w:sz w:val="24"/>
      <w:szCs w:val="24"/>
    </w:rPr>
  </w:style>
  <w:style w:type="paragraph" w:styleId="BalloonText">
    <w:name w:val="Balloon Text"/>
    <w:basedOn w:val="Normal"/>
    <w:link w:val="BalloonTextChar"/>
    <w:uiPriority w:val="99"/>
    <w:semiHidden/>
    <w:unhideWhenUsed/>
    <w:rsid w:val="00887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312">
      <w:bodyDiv w:val="1"/>
      <w:marLeft w:val="0"/>
      <w:marRight w:val="0"/>
      <w:marTop w:val="0"/>
      <w:marBottom w:val="0"/>
      <w:divBdr>
        <w:top w:val="none" w:sz="0" w:space="0" w:color="auto"/>
        <w:left w:val="none" w:sz="0" w:space="0" w:color="auto"/>
        <w:bottom w:val="none" w:sz="0" w:space="0" w:color="auto"/>
        <w:right w:val="none" w:sz="0" w:space="0" w:color="auto"/>
      </w:divBdr>
    </w:div>
    <w:div w:id="191768928">
      <w:bodyDiv w:val="1"/>
      <w:marLeft w:val="0"/>
      <w:marRight w:val="0"/>
      <w:marTop w:val="0"/>
      <w:marBottom w:val="0"/>
      <w:divBdr>
        <w:top w:val="none" w:sz="0" w:space="0" w:color="auto"/>
        <w:left w:val="none" w:sz="0" w:space="0" w:color="auto"/>
        <w:bottom w:val="none" w:sz="0" w:space="0" w:color="auto"/>
        <w:right w:val="none" w:sz="0" w:space="0" w:color="auto"/>
      </w:divBdr>
    </w:div>
    <w:div w:id="339359212">
      <w:bodyDiv w:val="1"/>
      <w:marLeft w:val="0"/>
      <w:marRight w:val="0"/>
      <w:marTop w:val="0"/>
      <w:marBottom w:val="0"/>
      <w:divBdr>
        <w:top w:val="none" w:sz="0" w:space="0" w:color="auto"/>
        <w:left w:val="none" w:sz="0" w:space="0" w:color="auto"/>
        <w:bottom w:val="none" w:sz="0" w:space="0" w:color="auto"/>
        <w:right w:val="none" w:sz="0" w:space="0" w:color="auto"/>
      </w:divBdr>
    </w:div>
    <w:div w:id="1307127098">
      <w:bodyDiv w:val="1"/>
      <w:marLeft w:val="0"/>
      <w:marRight w:val="0"/>
      <w:marTop w:val="0"/>
      <w:marBottom w:val="0"/>
      <w:divBdr>
        <w:top w:val="none" w:sz="0" w:space="0" w:color="auto"/>
        <w:left w:val="none" w:sz="0" w:space="0" w:color="auto"/>
        <w:bottom w:val="none" w:sz="0" w:space="0" w:color="auto"/>
        <w:right w:val="none" w:sz="0" w:space="0" w:color="auto"/>
      </w:divBdr>
    </w:div>
    <w:div w:id="17687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u.nz/wp-content/uploads/2019/09/Lets-bring-this-home-Home-Support-September-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health.nz/assets/Health-of-Older-People/ARC-Funding-Model-Review-Final-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review.health.govt.nz/assets/HDSR-interim-report/5b33db77f5/H-and-D-full-interim-report-August-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t.nz/system/files/documents/publications/medication-guidelines-home-community-support-services-sector-may19.pdf" TargetMode="External"/><Relationship Id="rId4" Type="http://schemas.openxmlformats.org/officeDocument/2006/relationships/settings" Target="settings.xml"/><Relationship Id="rId9" Type="http://schemas.openxmlformats.org/officeDocument/2006/relationships/hyperlink" Target="http://www.hcha.org.nz/assets/Uploads/RoVE-Updat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6CCD-97D1-481A-BBF9-9036FEB6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Links>
    <vt:vector size="30" baseType="variant">
      <vt:variant>
        <vt:i4>3342457</vt:i4>
      </vt:variant>
      <vt:variant>
        <vt:i4>12</vt:i4>
      </vt:variant>
      <vt:variant>
        <vt:i4>0</vt:i4>
      </vt:variant>
      <vt:variant>
        <vt:i4>5</vt:i4>
      </vt:variant>
      <vt:variant>
        <vt:lpwstr>https://www.etu.nz/wp-content/uploads/2019/09/Lets-bring-this-home-Home-Support-September-2019.pdf</vt:lpwstr>
      </vt:variant>
      <vt:variant>
        <vt:lpwstr/>
      </vt:variant>
      <vt:variant>
        <vt:i4>458838</vt:i4>
      </vt:variant>
      <vt:variant>
        <vt:i4>9</vt:i4>
      </vt:variant>
      <vt:variant>
        <vt:i4>0</vt:i4>
      </vt:variant>
      <vt:variant>
        <vt:i4>5</vt:i4>
      </vt:variant>
      <vt:variant>
        <vt:lpwstr>https://tas.health.nz/assets/Health-of-Older-People/ARC-Funding-Model-Review-Final-Report.pdf</vt:lpwstr>
      </vt:variant>
      <vt:variant>
        <vt:lpwstr/>
      </vt:variant>
      <vt:variant>
        <vt:i4>4522051</vt:i4>
      </vt:variant>
      <vt:variant>
        <vt:i4>6</vt:i4>
      </vt:variant>
      <vt:variant>
        <vt:i4>0</vt:i4>
      </vt:variant>
      <vt:variant>
        <vt:i4>5</vt:i4>
      </vt:variant>
      <vt:variant>
        <vt:lpwstr>https://systemreview.health.govt.nz/assets/HDSR-interim-report/5b33db77f5/H-and-D-full-interim-report-August-2019.pdf</vt:lpwstr>
      </vt:variant>
      <vt:variant>
        <vt:lpwstr/>
      </vt:variant>
      <vt:variant>
        <vt:i4>196690</vt:i4>
      </vt:variant>
      <vt:variant>
        <vt:i4>3</vt:i4>
      </vt:variant>
      <vt:variant>
        <vt:i4>0</vt:i4>
      </vt:variant>
      <vt:variant>
        <vt:i4>5</vt:i4>
      </vt:variant>
      <vt:variant>
        <vt:lpwstr>https://www.health.govt.nz/system/files/documents/publications/medication-guidelines-home-community-support-services-sector-may19.pdf</vt:lpwstr>
      </vt:variant>
      <vt:variant>
        <vt:lpwstr/>
      </vt:variant>
      <vt:variant>
        <vt:i4>1769560</vt:i4>
      </vt:variant>
      <vt:variant>
        <vt:i4>0</vt:i4>
      </vt:variant>
      <vt:variant>
        <vt:i4>0</vt:i4>
      </vt:variant>
      <vt:variant>
        <vt:i4>5</vt:i4>
      </vt:variant>
      <vt:variant>
        <vt:lpwstr>http://www.hcha.org.nz/assets/Uploads/RoVE-Update.pdf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Titcombe</dc:creator>
  <cp:keywords/>
  <dc:description/>
  <cp:lastModifiedBy>Graeme Titcombe</cp:lastModifiedBy>
  <cp:revision>80</cp:revision>
  <cp:lastPrinted>2019-10-02T23:22:00Z</cp:lastPrinted>
  <dcterms:created xsi:type="dcterms:W3CDTF">2019-10-02T00:44:00Z</dcterms:created>
  <dcterms:modified xsi:type="dcterms:W3CDTF">2019-10-03T22:38:00Z</dcterms:modified>
</cp:coreProperties>
</file>