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02D5C7" w14:textId="0C97E611" w:rsidR="007F3FDF" w:rsidRPr="007F3FDF" w:rsidRDefault="003004ED" w:rsidP="007F3FDF">
      <w:pPr>
        <w:shd w:val="clear" w:color="auto" w:fill="FFFFFF"/>
        <w:spacing w:before="225" w:after="225" w:line="240" w:lineRule="auto"/>
        <w:jc w:val="center"/>
        <w:rPr>
          <w:rFonts w:ascii="Calibri" w:eastAsia="Times New Roman" w:hAnsi="Calibri" w:cs="Calibri"/>
          <w:spacing w:val="2"/>
          <w:sz w:val="36"/>
          <w:szCs w:val="36"/>
        </w:rPr>
      </w:pPr>
      <w:r>
        <w:rPr>
          <w:rFonts w:ascii="Calibri" w:eastAsia="Times New Roman" w:hAnsi="Calibri" w:cs="Calibri"/>
          <w:spacing w:val="2"/>
          <w:sz w:val="36"/>
          <w:szCs w:val="36"/>
        </w:rPr>
        <w:fldChar w:fldCharType="begin"/>
      </w:r>
      <w:r>
        <w:rPr>
          <w:rFonts w:ascii="Calibri" w:eastAsia="Times New Roman" w:hAnsi="Calibri" w:cs="Calibri"/>
          <w:spacing w:val="2"/>
          <w:sz w:val="36"/>
          <w:szCs w:val="36"/>
        </w:rPr>
        <w:instrText xml:space="preserve"> HYPERLINK "http://www.legislation.govt.nz/bill/member/2016/0215/latest/DLM7054315.html" \t "_blank" </w:instrText>
      </w:r>
      <w:r>
        <w:rPr>
          <w:rFonts w:ascii="Calibri" w:eastAsia="Times New Roman" w:hAnsi="Calibri" w:cs="Calibri"/>
          <w:spacing w:val="2"/>
          <w:sz w:val="36"/>
          <w:szCs w:val="36"/>
        </w:rPr>
        <w:fldChar w:fldCharType="separate"/>
      </w:r>
      <w:r w:rsidRPr="007F3FDF">
        <w:rPr>
          <w:rFonts w:ascii="Calibri" w:eastAsia="Times New Roman" w:hAnsi="Calibri" w:cs="Calibri"/>
          <w:spacing w:val="2"/>
          <w:sz w:val="36"/>
          <w:szCs w:val="36"/>
        </w:rPr>
        <w:t xml:space="preserve">Domestic Violence – Victims' Protection </w:t>
      </w:r>
      <w:r>
        <w:rPr>
          <w:rFonts w:ascii="Calibri" w:eastAsia="Times New Roman" w:hAnsi="Calibri" w:cs="Calibri"/>
          <w:spacing w:val="2"/>
          <w:sz w:val="36"/>
          <w:szCs w:val="36"/>
        </w:rPr>
        <w:t>Act</w:t>
      </w:r>
      <w:r>
        <w:rPr>
          <w:rFonts w:ascii="Calibri" w:eastAsia="Times New Roman" w:hAnsi="Calibri" w:cs="Calibri"/>
          <w:spacing w:val="2"/>
          <w:sz w:val="36"/>
          <w:szCs w:val="36"/>
        </w:rPr>
        <w:fldChar w:fldCharType="end"/>
      </w:r>
      <w:r>
        <w:rPr>
          <w:rFonts w:ascii="Calibri" w:eastAsia="Times New Roman" w:hAnsi="Calibri" w:cs="Calibri"/>
          <w:spacing w:val="2"/>
          <w:sz w:val="36"/>
          <w:szCs w:val="36"/>
        </w:rPr>
        <w:t xml:space="preserve"> 2018</w:t>
      </w:r>
    </w:p>
    <w:p w14:paraId="68A7C023" w14:textId="1C76DEA5" w:rsidR="007F27E9" w:rsidRPr="0081255D" w:rsidRDefault="007F27E9" w:rsidP="0081255D">
      <w:pPr>
        <w:shd w:val="clear" w:color="auto" w:fill="FFFFFF"/>
        <w:spacing w:before="225" w:after="225" w:line="240" w:lineRule="auto"/>
        <w:jc w:val="center"/>
        <w:rPr>
          <w:rFonts w:ascii="Calibri" w:eastAsia="Times New Roman" w:hAnsi="Calibri" w:cs="Calibri"/>
          <w:b/>
          <w:i/>
          <w:spacing w:val="2"/>
          <w:sz w:val="20"/>
          <w:szCs w:val="20"/>
        </w:rPr>
      </w:pPr>
      <w:r w:rsidRPr="0081255D">
        <w:rPr>
          <w:rFonts w:ascii="Calibri" w:eastAsia="Times New Roman" w:hAnsi="Calibri" w:cs="Calibri"/>
          <w:b/>
          <w:i/>
          <w:spacing w:val="2"/>
          <w:sz w:val="20"/>
          <w:szCs w:val="20"/>
        </w:rPr>
        <w:t xml:space="preserve">This document is intended only as general guidance to members of the Home and Community Health Association.  </w:t>
      </w:r>
      <w:r w:rsidR="0081255D" w:rsidRPr="0081255D">
        <w:rPr>
          <w:rFonts w:ascii="Calibri" w:eastAsia="Times New Roman" w:hAnsi="Calibri" w:cs="Calibri"/>
          <w:b/>
          <w:i/>
          <w:spacing w:val="2"/>
          <w:sz w:val="20"/>
          <w:szCs w:val="20"/>
        </w:rPr>
        <w:t>Members should seek their own legal advice in regard to individual cases as appropriate.</w:t>
      </w:r>
    </w:p>
    <w:p w14:paraId="66D4456C" w14:textId="3A61C184" w:rsidR="007F3FDF" w:rsidRDefault="007F3FDF" w:rsidP="007F3FDF">
      <w:pPr>
        <w:shd w:val="clear" w:color="auto" w:fill="FFFFFF"/>
        <w:spacing w:before="225" w:after="225" w:line="240" w:lineRule="auto"/>
        <w:rPr>
          <w:rFonts w:ascii="Calibri" w:eastAsia="Times New Roman" w:hAnsi="Calibri" w:cs="Calibri"/>
          <w:color w:val="000000"/>
          <w:spacing w:val="2"/>
        </w:rPr>
      </w:pPr>
      <w:r w:rsidRPr="007F3FDF">
        <w:rPr>
          <w:rFonts w:ascii="Calibri" w:eastAsia="Times New Roman" w:hAnsi="Calibri" w:cs="Calibri"/>
          <w:spacing w:val="2"/>
        </w:rPr>
        <w:t>The </w:t>
      </w:r>
      <w:hyperlink r:id="rId7" w:tgtFrame="_blank" w:history="1">
        <w:r w:rsidRPr="007F3FDF">
          <w:rPr>
            <w:rFonts w:ascii="Calibri" w:eastAsia="Times New Roman" w:hAnsi="Calibri" w:cs="Calibri"/>
            <w:spacing w:val="2"/>
          </w:rPr>
          <w:t xml:space="preserve">Domestic Violence – Victims' Protection </w:t>
        </w:r>
        <w:r w:rsidR="003004ED">
          <w:rPr>
            <w:rFonts w:ascii="Calibri" w:eastAsia="Times New Roman" w:hAnsi="Calibri" w:cs="Calibri"/>
            <w:spacing w:val="2"/>
          </w:rPr>
          <w:t>Act 2018</w:t>
        </w:r>
      </w:hyperlink>
      <w:r w:rsidRPr="007F3FDF">
        <w:rPr>
          <w:rFonts w:ascii="Calibri" w:eastAsia="Times New Roman" w:hAnsi="Calibri" w:cs="Calibri"/>
          <w:spacing w:val="2"/>
        </w:rPr>
        <w:t> come</w:t>
      </w:r>
      <w:r w:rsidR="00171755">
        <w:rPr>
          <w:rFonts w:ascii="Calibri" w:eastAsia="Times New Roman" w:hAnsi="Calibri" w:cs="Calibri"/>
          <w:spacing w:val="2"/>
        </w:rPr>
        <w:t>s</w:t>
      </w:r>
      <w:r w:rsidRPr="007F3FDF">
        <w:rPr>
          <w:rFonts w:ascii="Calibri" w:eastAsia="Times New Roman" w:hAnsi="Calibri" w:cs="Calibri"/>
          <w:spacing w:val="2"/>
        </w:rPr>
        <w:t xml:space="preserve"> into effect from </w:t>
      </w:r>
      <w:r w:rsidRPr="00AF71BD">
        <w:rPr>
          <w:rFonts w:ascii="Calibri" w:eastAsia="Times New Roman" w:hAnsi="Calibri" w:cs="Calibri"/>
          <w:b/>
          <w:spacing w:val="2"/>
        </w:rPr>
        <w:t>1 April 2019</w:t>
      </w:r>
      <w:r w:rsidRPr="007F3FDF">
        <w:rPr>
          <w:rFonts w:ascii="Calibri" w:eastAsia="Times New Roman" w:hAnsi="Calibri" w:cs="Calibri"/>
          <w:color w:val="000000"/>
          <w:spacing w:val="2"/>
        </w:rPr>
        <w:t>. </w:t>
      </w:r>
    </w:p>
    <w:p w14:paraId="693C1CC2" w14:textId="67ED84ED" w:rsidR="00636FBD" w:rsidRDefault="00636FBD" w:rsidP="007F3FDF">
      <w:pPr>
        <w:shd w:val="clear" w:color="auto" w:fill="FFFFFF"/>
        <w:spacing w:before="225" w:after="225" w:line="240" w:lineRule="auto"/>
        <w:rPr>
          <w:rFonts w:ascii="Calibri" w:eastAsia="Times New Roman" w:hAnsi="Calibri" w:cs="Calibri"/>
          <w:color w:val="000000"/>
          <w:spacing w:val="2"/>
        </w:rPr>
      </w:pPr>
      <w:r>
        <w:rPr>
          <w:rFonts w:ascii="Calibri" w:eastAsia="Times New Roman" w:hAnsi="Calibri" w:cs="Calibri"/>
          <w:color w:val="000000"/>
          <w:spacing w:val="2"/>
        </w:rPr>
        <w:t xml:space="preserve">“Domestic violence” is defined in the Domestic Violence Act 1995: “in relation to any person, means violence against that person by any other person with whom that person is, or has been, in a domestic relationship”.  </w:t>
      </w:r>
    </w:p>
    <w:p w14:paraId="142F8330" w14:textId="3FE9039B" w:rsidR="00636FBD" w:rsidRDefault="00636FBD" w:rsidP="007F3FDF">
      <w:pPr>
        <w:shd w:val="clear" w:color="auto" w:fill="FFFFFF"/>
        <w:spacing w:before="225" w:after="225" w:line="240" w:lineRule="auto"/>
        <w:rPr>
          <w:rFonts w:ascii="Calibri" w:eastAsia="Times New Roman" w:hAnsi="Calibri" w:cs="Calibri"/>
          <w:color w:val="000000"/>
          <w:spacing w:val="2"/>
        </w:rPr>
      </w:pPr>
      <w:r>
        <w:rPr>
          <w:rFonts w:ascii="Calibri" w:eastAsia="Times New Roman" w:hAnsi="Calibri" w:cs="Calibri"/>
          <w:color w:val="000000"/>
          <w:spacing w:val="2"/>
        </w:rPr>
        <w:t xml:space="preserve">“Violence” </w:t>
      </w:r>
      <w:proofErr w:type="gramStart"/>
      <w:r>
        <w:rPr>
          <w:rFonts w:ascii="Calibri" w:eastAsia="Times New Roman" w:hAnsi="Calibri" w:cs="Calibri"/>
          <w:color w:val="000000"/>
          <w:spacing w:val="2"/>
        </w:rPr>
        <w:t>means:</w:t>
      </w:r>
      <w:proofErr w:type="gramEnd"/>
      <w:r>
        <w:rPr>
          <w:rFonts w:ascii="Calibri" w:eastAsia="Times New Roman" w:hAnsi="Calibri" w:cs="Calibri"/>
          <w:color w:val="000000"/>
          <w:spacing w:val="2"/>
        </w:rPr>
        <w:t xml:space="preserve"> physical abuse, sexual abuse, psychological abuse (including intimidation, harassment, damage to property, threats of physical abuse, sexual abuse or psychological abuse, financial or economic abuse.  In relation to a child, it includes causing or allowing the child to see or hear the physical, sexual or psychological abuse of a person with whom the child has a domestic relationship, or where it puts the child, or allows the child to be put, at real risk of seeing or hearing that abuse occurring.</w:t>
      </w:r>
    </w:p>
    <w:p w14:paraId="0CEF7672" w14:textId="1E116139" w:rsidR="00636FBD" w:rsidRPr="007F3FDF" w:rsidRDefault="00636FBD" w:rsidP="007F3FDF">
      <w:pPr>
        <w:shd w:val="clear" w:color="auto" w:fill="FFFFFF"/>
        <w:spacing w:before="225" w:after="225" w:line="240" w:lineRule="auto"/>
        <w:rPr>
          <w:rFonts w:ascii="Calibri" w:eastAsia="Times New Roman" w:hAnsi="Calibri" w:cs="Calibri"/>
          <w:color w:val="000000"/>
          <w:spacing w:val="2"/>
        </w:rPr>
      </w:pPr>
    </w:p>
    <w:p w14:paraId="18BC5038" w14:textId="5C1819BE" w:rsidR="00FA09F4" w:rsidRPr="00FA09F4" w:rsidRDefault="00FA09F4" w:rsidP="00FA09F4">
      <w:pPr>
        <w:shd w:val="clear" w:color="auto" w:fill="FFFFFF"/>
        <w:spacing w:before="225" w:after="0" w:line="240" w:lineRule="auto"/>
        <w:rPr>
          <w:rFonts w:ascii="Calibri" w:eastAsia="Times New Roman" w:hAnsi="Calibri" w:cs="Calibri"/>
          <w:b/>
          <w:color w:val="000000"/>
          <w:spacing w:val="2"/>
        </w:rPr>
      </w:pPr>
      <w:r w:rsidRPr="00FA09F4">
        <w:rPr>
          <w:rFonts w:ascii="Calibri" w:eastAsia="Times New Roman" w:hAnsi="Calibri" w:cs="Calibri"/>
          <w:b/>
          <w:color w:val="000000"/>
          <w:spacing w:val="2"/>
        </w:rPr>
        <w:t>Entitlement</w:t>
      </w:r>
    </w:p>
    <w:p w14:paraId="545BAA0C" w14:textId="5349A64A" w:rsidR="007F3FDF" w:rsidRDefault="007F3FDF" w:rsidP="007F27E9">
      <w:pPr>
        <w:shd w:val="clear" w:color="auto" w:fill="FFFFFF"/>
        <w:spacing w:after="225" w:line="240" w:lineRule="auto"/>
        <w:jc w:val="both"/>
        <w:rPr>
          <w:rFonts w:ascii="Calibri" w:eastAsia="Times New Roman" w:hAnsi="Calibri" w:cs="Calibri"/>
          <w:color w:val="000000"/>
          <w:spacing w:val="2"/>
        </w:rPr>
      </w:pPr>
      <w:r w:rsidRPr="007F3FDF">
        <w:rPr>
          <w:rFonts w:ascii="Calibri" w:eastAsia="Times New Roman" w:hAnsi="Calibri" w:cs="Calibri"/>
          <w:color w:val="000000"/>
          <w:spacing w:val="2"/>
        </w:rPr>
        <w:t xml:space="preserve">The </w:t>
      </w:r>
      <w:r w:rsidR="003004ED">
        <w:rPr>
          <w:rFonts w:ascii="Calibri" w:eastAsia="Times New Roman" w:hAnsi="Calibri" w:cs="Calibri"/>
          <w:color w:val="000000"/>
          <w:spacing w:val="2"/>
        </w:rPr>
        <w:t>Act</w:t>
      </w:r>
      <w:r w:rsidRPr="007F3FDF">
        <w:rPr>
          <w:rFonts w:ascii="Calibri" w:eastAsia="Times New Roman" w:hAnsi="Calibri" w:cs="Calibri"/>
          <w:color w:val="000000"/>
          <w:spacing w:val="2"/>
        </w:rPr>
        <w:t xml:space="preserve"> amends the Holidays Act 2003, the Employment Relations Act 2000 and the Human Rights Act 1993.  </w:t>
      </w:r>
      <w:r w:rsidR="00171755">
        <w:rPr>
          <w:rFonts w:ascii="Calibri" w:eastAsia="Times New Roman" w:hAnsi="Calibri" w:cs="Calibri"/>
          <w:color w:val="000000"/>
          <w:spacing w:val="2"/>
        </w:rPr>
        <w:t>E</w:t>
      </w:r>
      <w:r w:rsidRPr="007F3FDF">
        <w:rPr>
          <w:rFonts w:ascii="Calibri" w:eastAsia="Times New Roman" w:hAnsi="Calibri" w:cs="Calibri"/>
          <w:color w:val="000000"/>
          <w:spacing w:val="2"/>
        </w:rPr>
        <w:t xml:space="preserve">mployers will be required to provide employees "affected by domestic violence" with </w:t>
      </w:r>
      <w:r>
        <w:rPr>
          <w:rFonts w:ascii="Calibri" w:eastAsia="Times New Roman" w:hAnsi="Calibri" w:cs="Calibri"/>
          <w:color w:val="000000"/>
          <w:spacing w:val="2"/>
        </w:rPr>
        <w:t xml:space="preserve">up to 10 days </w:t>
      </w:r>
      <w:r w:rsidRPr="007F3FDF">
        <w:rPr>
          <w:rFonts w:ascii="Calibri" w:eastAsia="Times New Roman" w:hAnsi="Calibri" w:cs="Calibri"/>
          <w:color w:val="000000"/>
          <w:spacing w:val="2"/>
        </w:rPr>
        <w:t xml:space="preserve">domestic violence leave </w:t>
      </w:r>
      <w:r w:rsidR="00FA09F4">
        <w:rPr>
          <w:rFonts w:ascii="Calibri" w:eastAsia="Times New Roman" w:hAnsi="Calibri" w:cs="Calibri"/>
          <w:color w:val="000000"/>
          <w:spacing w:val="2"/>
        </w:rPr>
        <w:t xml:space="preserve">per annum </w:t>
      </w:r>
      <w:r w:rsidRPr="007F3FDF">
        <w:rPr>
          <w:rFonts w:ascii="Calibri" w:eastAsia="Times New Roman" w:hAnsi="Calibri" w:cs="Calibri"/>
          <w:color w:val="000000"/>
          <w:spacing w:val="2"/>
        </w:rPr>
        <w:t>to assist them to deal with the effects of domestic violence</w:t>
      </w:r>
      <w:r>
        <w:rPr>
          <w:rFonts w:ascii="Calibri" w:eastAsia="Times New Roman" w:hAnsi="Calibri" w:cs="Calibri"/>
          <w:color w:val="000000"/>
          <w:spacing w:val="2"/>
        </w:rPr>
        <w:t xml:space="preserve">; this entitlement is in addition to </w:t>
      </w:r>
      <w:r w:rsidRPr="007F3FDF">
        <w:rPr>
          <w:rFonts w:ascii="Calibri" w:eastAsia="Times New Roman" w:hAnsi="Calibri" w:cs="Calibri"/>
          <w:color w:val="000000"/>
          <w:spacing w:val="2"/>
        </w:rPr>
        <w:t>annual holidays and sick leave entitlements.</w:t>
      </w:r>
      <w:r>
        <w:rPr>
          <w:rFonts w:ascii="Calibri" w:eastAsia="Times New Roman" w:hAnsi="Calibri" w:cs="Calibri"/>
          <w:color w:val="000000"/>
          <w:spacing w:val="2"/>
        </w:rPr>
        <w:t xml:space="preserve"> </w:t>
      </w:r>
      <w:r w:rsidRPr="007F3FDF">
        <w:rPr>
          <w:rFonts w:ascii="Calibri" w:eastAsia="Times New Roman" w:hAnsi="Calibri" w:cs="Calibri"/>
          <w:color w:val="000000"/>
          <w:spacing w:val="2"/>
        </w:rPr>
        <w:t>Domestic violence includes physical, sexual and psychological abuse, including harassment, threats, intimidation and financial abuse.</w:t>
      </w:r>
    </w:p>
    <w:p w14:paraId="751173B2" w14:textId="4B6C38AE" w:rsidR="00FA09F4" w:rsidRPr="007F3FDF" w:rsidRDefault="00FA09F4" w:rsidP="00171755">
      <w:pPr>
        <w:shd w:val="clear" w:color="auto" w:fill="FFFFFF"/>
        <w:spacing w:before="225" w:after="225" w:line="240" w:lineRule="auto"/>
        <w:jc w:val="both"/>
        <w:rPr>
          <w:rFonts w:ascii="Calibri" w:eastAsia="Times New Roman" w:hAnsi="Calibri" w:cs="Calibri"/>
          <w:color w:val="000000"/>
          <w:spacing w:val="2"/>
        </w:rPr>
      </w:pPr>
      <w:r w:rsidRPr="007F3FDF">
        <w:rPr>
          <w:rFonts w:ascii="Calibri" w:eastAsia="Times New Roman" w:hAnsi="Calibri" w:cs="Calibri"/>
          <w:color w:val="000000"/>
          <w:spacing w:val="2"/>
        </w:rPr>
        <w:t>The new entitlements are available to employees personally affected by domestic violence and also to employees caring for children who have been affected by domestic violence.  The entitlements apply even if the</w:t>
      </w:r>
      <w:r w:rsidR="00E3321B">
        <w:rPr>
          <w:rFonts w:ascii="Calibri" w:eastAsia="Times New Roman" w:hAnsi="Calibri" w:cs="Calibri"/>
          <w:color w:val="000000"/>
          <w:spacing w:val="2"/>
        </w:rPr>
        <w:t xml:space="preserve"> domestic</w:t>
      </w:r>
      <w:r w:rsidRPr="007F3FDF">
        <w:rPr>
          <w:rFonts w:ascii="Calibri" w:eastAsia="Times New Roman" w:hAnsi="Calibri" w:cs="Calibri"/>
          <w:color w:val="000000"/>
          <w:spacing w:val="2"/>
        </w:rPr>
        <w:t xml:space="preserve"> violence occurred before the person became an employee</w:t>
      </w:r>
      <w:r w:rsidR="00E3321B">
        <w:rPr>
          <w:rFonts w:ascii="Calibri" w:eastAsia="Times New Roman" w:hAnsi="Calibri" w:cs="Calibri"/>
          <w:color w:val="000000"/>
          <w:spacing w:val="2"/>
        </w:rPr>
        <w:t xml:space="preserve"> (</w:t>
      </w:r>
      <w:proofErr w:type="spellStart"/>
      <w:r w:rsidR="00E3321B">
        <w:rPr>
          <w:rFonts w:ascii="Calibri" w:eastAsia="Times New Roman" w:hAnsi="Calibri" w:cs="Calibri"/>
          <w:color w:val="000000"/>
          <w:spacing w:val="2"/>
        </w:rPr>
        <w:t>ie</w:t>
      </w:r>
      <w:proofErr w:type="spellEnd"/>
      <w:r w:rsidR="00E3321B">
        <w:rPr>
          <w:rFonts w:ascii="Calibri" w:eastAsia="Times New Roman" w:hAnsi="Calibri" w:cs="Calibri"/>
          <w:color w:val="000000"/>
          <w:spacing w:val="2"/>
        </w:rPr>
        <w:t xml:space="preserve"> timing of the domestic violence is not relevant)</w:t>
      </w:r>
      <w:r w:rsidRPr="007F3FDF">
        <w:rPr>
          <w:rFonts w:ascii="Calibri" w:eastAsia="Times New Roman" w:hAnsi="Calibri" w:cs="Calibri"/>
          <w:color w:val="000000"/>
          <w:spacing w:val="2"/>
        </w:rPr>
        <w:t>. </w:t>
      </w:r>
    </w:p>
    <w:p w14:paraId="2446A055" w14:textId="0B08CF9D" w:rsidR="007F3FDF" w:rsidRPr="007F3FDF" w:rsidRDefault="00171755" w:rsidP="00171755">
      <w:pPr>
        <w:shd w:val="clear" w:color="auto" w:fill="FFFFFF"/>
        <w:spacing w:before="225" w:after="225" w:line="240" w:lineRule="auto"/>
        <w:jc w:val="both"/>
        <w:rPr>
          <w:rFonts w:ascii="Calibri" w:eastAsia="Times New Roman" w:hAnsi="Calibri" w:cs="Calibri"/>
          <w:color w:val="000000"/>
          <w:spacing w:val="2"/>
        </w:rPr>
      </w:pPr>
      <w:r w:rsidRPr="00171755">
        <w:rPr>
          <w:rFonts w:cstheme="minorHAnsi"/>
          <w:color w:val="333333"/>
          <w:spacing w:val="5"/>
          <w:shd w:val="clear" w:color="auto" w:fill="FFFFFF"/>
        </w:rPr>
        <w:t>Entitlement to domestic violence leave arises after six months' current continuous employment with one employer, or if the employee has worked at least an average of 10 hours per week over the past six months and no less than one hour in each week in that period or at least 40 hours in each month</w:t>
      </w:r>
      <w:r>
        <w:rPr>
          <w:rFonts w:ascii="Verdana" w:hAnsi="Verdana"/>
          <w:color w:val="333333"/>
          <w:spacing w:val="5"/>
          <w:sz w:val="23"/>
          <w:szCs w:val="23"/>
          <w:shd w:val="clear" w:color="auto" w:fill="FFFFFF"/>
        </w:rPr>
        <w:t>.</w:t>
      </w:r>
      <w:r w:rsidR="007F3FDF" w:rsidRPr="007F3FDF">
        <w:rPr>
          <w:rFonts w:ascii="Calibri" w:eastAsia="Times New Roman" w:hAnsi="Calibri" w:cs="Calibri"/>
          <w:color w:val="000000"/>
          <w:spacing w:val="2"/>
        </w:rPr>
        <w:t xml:space="preserve">  </w:t>
      </w:r>
      <w:r>
        <w:rPr>
          <w:rFonts w:ascii="Calibri" w:eastAsia="Times New Roman" w:hAnsi="Calibri" w:cs="Calibri"/>
          <w:color w:val="000000"/>
          <w:spacing w:val="2"/>
        </w:rPr>
        <w:t xml:space="preserve">An </w:t>
      </w:r>
      <w:r w:rsidR="007F3FDF" w:rsidRPr="007F3FDF">
        <w:rPr>
          <w:rFonts w:ascii="Calibri" w:eastAsia="Times New Roman" w:hAnsi="Calibri" w:cs="Calibri"/>
          <w:color w:val="000000"/>
          <w:spacing w:val="2"/>
        </w:rPr>
        <w:t>employer may require proof prior to agreeing to the request.  If an employee fails, without reasonable excuse, to provide proof, an employer will not be required to pay for any domestic violence leave.</w:t>
      </w:r>
    </w:p>
    <w:p w14:paraId="3D3A9A50" w14:textId="00904EAC" w:rsidR="007F3FDF" w:rsidRPr="007F3FDF" w:rsidRDefault="007F3FDF" w:rsidP="007F3FDF">
      <w:pPr>
        <w:shd w:val="clear" w:color="auto" w:fill="FFFFFF"/>
        <w:spacing w:after="0" w:line="240" w:lineRule="auto"/>
        <w:outlineLvl w:val="3"/>
        <w:rPr>
          <w:rFonts w:ascii="Calibri" w:eastAsia="Times New Roman" w:hAnsi="Calibri" w:cs="Calibri"/>
          <w:b/>
          <w:color w:val="000000"/>
        </w:rPr>
      </w:pPr>
      <w:r w:rsidRPr="007F3FDF">
        <w:rPr>
          <w:rFonts w:ascii="Calibri" w:eastAsia="Times New Roman" w:hAnsi="Calibri" w:cs="Calibri"/>
          <w:b/>
          <w:color w:val="000000"/>
        </w:rPr>
        <w:t xml:space="preserve">Flexible </w:t>
      </w:r>
      <w:r w:rsidR="00151BFF">
        <w:rPr>
          <w:rFonts w:ascii="Calibri" w:eastAsia="Times New Roman" w:hAnsi="Calibri" w:cs="Calibri"/>
          <w:b/>
          <w:color w:val="000000"/>
        </w:rPr>
        <w:t>W</w:t>
      </w:r>
      <w:r w:rsidRPr="007F3FDF">
        <w:rPr>
          <w:rFonts w:ascii="Calibri" w:eastAsia="Times New Roman" w:hAnsi="Calibri" w:cs="Calibri"/>
          <w:b/>
          <w:color w:val="000000"/>
        </w:rPr>
        <w:t xml:space="preserve">orking </w:t>
      </w:r>
      <w:r w:rsidR="00151BFF">
        <w:rPr>
          <w:rFonts w:ascii="Calibri" w:eastAsia="Times New Roman" w:hAnsi="Calibri" w:cs="Calibri"/>
          <w:b/>
          <w:color w:val="000000"/>
        </w:rPr>
        <w:t>A</w:t>
      </w:r>
      <w:r w:rsidRPr="007F3FDF">
        <w:rPr>
          <w:rFonts w:ascii="Calibri" w:eastAsia="Times New Roman" w:hAnsi="Calibri" w:cs="Calibri"/>
          <w:b/>
          <w:color w:val="000000"/>
        </w:rPr>
        <w:t>rrangements</w:t>
      </w:r>
    </w:p>
    <w:p w14:paraId="0C3EBF77" w14:textId="4B7D4DB5" w:rsidR="007F3FDF" w:rsidRPr="007F3FDF" w:rsidRDefault="007F3FDF" w:rsidP="00171755">
      <w:pPr>
        <w:shd w:val="clear" w:color="auto" w:fill="FFFFFF"/>
        <w:spacing w:after="0" w:line="240" w:lineRule="auto"/>
        <w:jc w:val="both"/>
        <w:rPr>
          <w:rFonts w:ascii="Calibri" w:eastAsia="Times New Roman" w:hAnsi="Calibri" w:cs="Calibri"/>
          <w:color w:val="000000"/>
          <w:spacing w:val="2"/>
        </w:rPr>
      </w:pPr>
      <w:r w:rsidRPr="007F3FDF">
        <w:rPr>
          <w:rFonts w:ascii="Calibri" w:eastAsia="Times New Roman" w:hAnsi="Calibri" w:cs="Calibri"/>
          <w:color w:val="000000"/>
          <w:spacing w:val="2"/>
        </w:rPr>
        <w:t xml:space="preserve">The </w:t>
      </w:r>
      <w:r w:rsidR="003004ED">
        <w:rPr>
          <w:rFonts w:ascii="Calibri" w:eastAsia="Times New Roman" w:hAnsi="Calibri" w:cs="Calibri"/>
          <w:color w:val="000000"/>
          <w:spacing w:val="2"/>
        </w:rPr>
        <w:t>Act</w:t>
      </w:r>
      <w:r w:rsidR="003004ED" w:rsidRPr="007F3FDF">
        <w:rPr>
          <w:rFonts w:ascii="Calibri" w:eastAsia="Times New Roman" w:hAnsi="Calibri" w:cs="Calibri"/>
          <w:color w:val="000000"/>
          <w:spacing w:val="2"/>
        </w:rPr>
        <w:t xml:space="preserve"> </w:t>
      </w:r>
      <w:r w:rsidRPr="007F3FDF">
        <w:rPr>
          <w:rFonts w:ascii="Calibri" w:eastAsia="Times New Roman" w:hAnsi="Calibri" w:cs="Calibri"/>
          <w:color w:val="000000"/>
          <w:spacing w:val="2"/>
        </w:rPr>
        <w:t>also provides for flexible working arrangements for employees affected by domestic violence.  It allows affected employees to request additional types of flexibility than otherwise available, including changes to:</w:t>
      </w:r>
    </w:p>
    <w:p w14:paraId="5E43E7E2" w14:textId="77777777" w:rsidR="007F3FDF" w:rsidRPr="007F3FDF" w:rsidRDefault="007F3FDF" w:rsidP="00171755">
      <w:pPr>
        <w:numPr>
          <w:ilvl w:val="0"/>
          <w:numId w:val="1"/>
        </w:numPr>
        <w:shd w:val="clear" w:color="auto" w:fill="FFFFFF"/>
        <w:spacing w:after="0" w:line="300" w:lineRule="atLeast"/>
        <w:ind w:left="990"/>
        <w:jc w:val="both"/>
        <w:rPr>
          <w:rFonts w:ascii="Calibri" w:eastAsia="Times New Roman" w:hAnsi="Calibri" w:cs="Calibri"/>
          <w:color w:val="000000"/>
          <w:spacing w:val="2"/>
        </w:rPr>
      </w:pPr>
      <w:r w:rsidRPr="007F3FDF">
        <w:rPr>
          <w:rFonts w:ascii="Calibri" w:eastAsia="Times New Roman" w:hAnsi="Calibri" w:cs="Calibri"/>
          <w:color w:val="000000"/>
          <w:spacing w:val="2"/>
        </w:rPr>
        <w:t>The location of their workplace</w:t>
      </w:r>
    </w:p>
    <w:p w14:paraId="6E23B705" w14:textId="77777777" w:rsidR="007F3FDF" w:rsidRPr="007F3FDF" w:rsidRDefault="007F3FDF" w:rsidP="00171755">
      <w:pPr>
        <w:numPr>
          <w:ilvl w:val="0"/>
          <w:numId w:val="1"/>
        </w:numPr>
        <w:shd w:val="clear" w:color="auto" w:fill="FFFFFF"/>
        <w:spacing w:before="100" w:beforeAutospacing="1" w:after="0" w:line="300" w:lineRule="atLeast"/>
        <w:ind w:left="990"/>
        <w:jc w:val="both"/>
        <w:rPr>
          <w:rFonts w:ascii="Calibri" w:eastAsia="Times New Roman" w:hAnsi="Calibri" w:cs="Calibri"/>
          <w:color w:val="000000"/>
          <w:spacing w:val="2"/>
        </w:rPr>
      </w:pPr>
      <w:r w:rsidRPr="007F3FDF">
        <w:rPr>
          <w:rFonts w:ascii="Calibri" w:eastAsia="Times New Roman" w:hAnsi="Calibri" w:cs="Calibri"/>
          <w:color w:val="000000"/>
          <w:spacing w:val="2"/>
        </w:rPr>
        <w:t>Their duties at work</w:t>
      </w:r>
    </w:p>
    <w:p w14:paraId="6B312690" w14:textId="77777777" w:rsidR="007F3FDF" w:rsidRPr="007F3FDF" w:rsidRDefault="007F3FDF" w:rsidP="00171755">
      <w:pPr>
        <w:numPr>
          <w:ilvl w:val="0"/>
          <w:numId w:val="1"/>
        </w:numPr>
        <w:shd w:val="clear" w:color="auto" w:fill="FFFFFF"/>
        <w:spacing w:before="100" w:beforeAutospacing="1" w:after="0" w:line="300" w:lineRule="atLeast"/>
        <w:ind w:left="990"/>
        <w:jc w:val="both"/>
        <w:rPr>
          <w:rFonts w:ascii="Calibri" w:eastAsia="Times New Roman" w:hAnsi="Calibri" w:cs="Calibri"/>
          <w:color w:val="000000"/>
          <w:spacing w:val="2"/>
        </w:rPr>
      </w:pPr>
      <w:r w:rsidRPr="007F3FDF">
        <w:rPr>
          <w:rFonts w:ascii="Calibri" w:eastAsia="Times New Roman" w:hAnsi="Calibri" w:cs="Calibri"/>
          <w:color w:val="000000"/>
          <w:spacing w:val="2"/>
        </w:rPr>
        <w:lastRenderedPageBreak/>
        <w:t>The extent of contact details the employee must provide to their employer</w:t>
      </w:r>
    </w:p>
    <w:p w14:paraId="57A143F1" w14:textId="77777777" w:rsidR="007F3FDF" w:rsidRPr="007F3FDF" w:rsidRDefault="007F3FDF" w:rsidP="00171755">
      <w:pPr>
        <w:numPr>
          <w:ilvl w:val="0"/>
          <w:numId w:val="1"/>
        </w:numPr>
        <w:shd w:val="clear" w:color="auto" w:fill="FFFFFF"/>
        <w:spacing w:before="100" w:beforeAutospacing="1" w:after="0" w:line="300" w:lineRule="atLeast"/>
        <w:ind w:left="990"/>
        <w:jc w:val="both"/>
        <w:rPr>
          <w:rFonts w:ascii="Calibri" w:eastAsia="Times New Roman" w:hAnsi="Calibri" w:cs="Calibri"/>
          <w:color w:val="000000"/>
          <w:spacing w:val="2"/>
        </w:rPr>
      </w:pPr>
      <w:r w:rsidRPr="007F3FDF">
        <w:rPr>
          <w:rFonts w:ascii="Calibri" w:eastAsia="Times New Roman" w:hAnsi="Calibri" w:cs="Calibri"/>
          <w:color w:val="000000"/>
          <w:spacing w:val="2"/>
        </w:rPr>
        <w:t>Any other term of employment that needs variation to enable the employee to deal with the effects of domestic violence.</w:t>
      </w:r>
    </w:p>
    <w:p w14:paraId="1D8C76FF" w14:textId="211AF704" w:rsidR="007F3FDF" w:rsidRPr="007F3FDF" w:rsidRDefault="007F3FDF" w:rsidP="00171755">
      <w:pPr>
        <w:shd w:val="clear" w:color="auto" w:fill="FFFFFF"/>
        <w:spacing w:before="225" w:after="225" w:line="240" w:lineRule="auto"/>
        <w:jc w:val="both"/>
        <w:rPr>
          <w:rFonts w:ascii="Calibri" w:eastAsia="Times New Roman" w:hAnsi="Calibri" w:cs="Calibri"/>
          <w:color w:val="000000"/>
          <w:spacing w:val="2"/>
        </w:rPr>
      </w:pPr>
      <w:r w:rsidRPr="007F3FDF">
        <w:rPr>
          <w:rFonts w:ascii="Calibri" w:eastAsia="Times New Roman" w:hAnsi="Calibri" w:cs="Calibri"/>
          <w:color w:val="000000"/>
          <w:spacing w:val="2"/>
        </w:rPr>
        <w:t xml:space="preserve">In addition, </w:t>
      </w:r>
      <w:r w:rsidR="00E3321B">
        <w:rPr>
          <w:rFonts w:ascii="Calibri" w:eastAsia="Times New Roman" w:hAnsi="Calibri" w:cs="Calibri"/>
          <w:color w:val="000000"/>
          <w:spacing w:val="2"/>
        </w:rPr>
        <w:t>‘</w:t>
      </w:r>
      <w:r w:rsidRPr="007F3FDF">
        <w:rPr>
          <w:rFonts w:ascii="Calibri" w:eastAsia="Times New Roman" w:hAnsi="Calibri" w:cs="Calibri"/>
          <w:color w:val="000000"/>
          <w:spacing w:val="2"/>
        </w:rPr>
        <w:t>short term</w:t>
      </w:r>
      <w:r w:rsidR="00E3321B">
        <w:rPr>
          <w:rFonts w:ascii="Calibri" w:eastAsia="Times New Roman" w:hAnsi="Calibri" w:cs="Calibri"/>
          <w:color w:val="000000"/>
          <w:spacing w:val="2"/>
        </w:rPr>
        <w:t>’</w:t>
      </w:r>
      <w:r w:rsidRPr="007F3FDF">
        <w:rPr>
          <w:rFonts w:ascii="Calibri" w:eastAsia="Times New Roman" w:hAnsi="Calibri" w:cs="Calibri"/>
          <w:color w:val="000000"/>
          <w:spacing w:val="2"/>
        </w:rPr>
        <w:t xml:space="preserve"> flexible working arrangements (two months or shorter) will be available for employees affected by domestic violence.  </w:t>
      </w:r>
      <w:r w:rsidR="00FA09F4">
        <w:rPr>
          <w:rFonts w:ascii="Calibri" w:eastAsia="Times New Roman" w:hAnsi="Calibri" w:cs="Calibri"/>
          <w:color w:val="000000"/>
          <w:spacing w:val="2"/>
        </w:rPr>
        <w:t>E</w:t>
      </w:r>
      <w:r w:rsidRPr="007F3FDF">
        <w:rPr>
          <w:rFonts w:ascii="Calibri" w:eastAsia="Times New Roman" w:hAnsi="Calibri" w:cs="Calibri"/>
          <w:color w:val="000000"/>
          <w:spacing w:val="2"/>
        </w:rPr>
        <w:t>mployees affected by domestic violence will be able to make a request for short-term changes to their working arrangements</w:t>
      </w:r>
      <w:r w:rsidR="00E3321B">
        <w:rPr>
          <w:rFonts w:ascii="Calibri" w:eastAsia="Times New Roman" w:hAnsi="Calibri" w:cs="Calibri"/>
          <w:color w:val="000000"/>
          <w:spacing w:val="2"/>
        </w:rPr>
        <w:t xml:space="preserve"> (including hours of work, days of work, place of work, or any other additional employment terms)</w:t>
      </w:r>
      <w:r w:rsidRPr="007F3FDF">
        <w:rPr>
          <w:rFonts w:ascii="Calibri" w:eastAsia="Times New Roman" w:hAnsi="Calibri" w:cs="Calibri"/>
          <w:color w:val="000000"/>
          <w:spacing w:val="2"/>
        </w:rPr>
        <w:t xml:space="preserve">.  Employers must deal with </w:t>
      </w:r>
      <w:r w:rsidR="00E3321B">
        <w:rPr>
          <w:rFonts w:ascii="Calibri" w:eastAsia="Times New Roman" w:hAnsi="Calibri" w:cs="Calibri"/>
          <w:color w:val="000000"/>
          <w:spacing w:val="2"/>
        </w:rPr>
        <w:t xml:space="preserve">such </w:t>
      </w:r>
      <w:r w:rsidRPr="007F3FDF">
        <w:rPr>
          <w:rFonts w:ascii="Calibri" w:eastAsia="Times New Roman" w:hAnsi="Calibri" w:cs="Calibri"/>
          <w:color w:val="000000"/>
          <w:spacing w:val="2"/>
        </w:rPr>
        <w:t>a request within 10 working days.</w:t>
      </w:r>
      <w:r w:rsidR="007F27E9">
        <w:rPr>
          <w:rFonts w:ascii="Calibri" w:eastAsia="Times New Roman" w:hAnsi="Calibri" w:cs="Calibri"/>
          <w:color w:val="000000"/>
          <w:spacing w:val="2"/>
        </w:rPr>
        <w:t xml:space="preserve">  </w:t>
      </w:r>
      <w:r w:rsidRPr="007F3FDF">
        <w:rPr>
          <w:rFonts w:ascii="Calibri" w:eastAsia="Times New Roman" w:hAnsi="Calibri" w:cs="Calibri"/>
          <w:color w:val="000000"/>
          <w:spacing w:val="2"/>
        </w:rPr>
        <w:t xml:space="preserve">As with domestic violence leave, employers can require proof that the employee </w:t>
      </w:r>
      <w:r w:rsidR="00277482">
        <w:rPr>
          <w:rFonts w:ascii="Calibri" w:eastAsia="Times New Roman" w:hAnsi="Calibri" w:cs="Calibri"/>
          <w:color w:val="000000"/>
          <w:spacing w:val="2"/>
        </w:rPr>
        <w:t>is a person</w:t>
      </w:r>
      <w:r w:rsidRPr="007F3FDF">
        <w:rPr>
          <w:rFonts w:ascii="Calibri" w:eastAsia="Times New Roman" w:hAnsi="Calibri" w:cs="Calibri"/>
          <w:color w:val="000000"/>
          <w:spacing w:val="2"/>
        </w:rPr>
        <w:t xml:space="preserve"> affected</w:t>
      </w:r>
      <w:r w:rsidR="00277482">
        <w:rPr>
          <w:rFonts w:ascii="Calibri" w:eastAsia="Times New Roman" w:hAnsi="Calibri" w:cs="Calibri"/>
          <w:color w:val="000000"/>
          <w:spacing w:val="2"/>
        </w:rPr>
        <w:t xml:space="preserve"> by domestic violence</w:t>
      </w:r>
      <w:r w:rsidRPr="007F3FDF">
        <w:rPr>
          <w:rFonts w:ascii="Calibri" w:eastAsia="Times New Roman" w:hAnsi="Calibri" w:cs="Calibri"/>
          <w:color w:val="000000"/>
          <w:spacing w:val="2"/>
        </w:rPr>
        <w:t>.  However, they may only require</w:t>
      </w:r>
      <w:r w:rsidR="00277482">
        <w:rPr>
          <w:rFonts w:ascii="Calibri" w:eastAsia="Times New Roman" w:hAnsi="Calibri" w:cs="Calibri"/>
          <w:color w:val="000000"/>
          <w:spacing w:val="2"/>
        </w:rPr>
        <w:t xml:space="preserve"> such</w:t>
      </w:r>
      <w:r w:rsidRPr="007F3FDF">
        <w:rPr>
          <w:rFonts w:ascii="Calibri" w:eastAsia="Times New Roman" w:hAnsi="Calibri" w:cs="Calibri"/>
          <w:color w:val="000000"/>
          <w:spacing w:val="2"/>
        </w:rPr>
        <w:t xml:space="preserve"> proof if they inform the employee of the requirement within three working days after receiving the request for flexible working arrangements.</w:t>
      </w:r>
      <w:r w:rsidR="00277482">
        <w:rPr>
          <w:rFonts w:ascii="Calibri" w:eastAsia="Times New Roman" w:hAnsi="Calibri" w:cs="Calibri"/>
          <w:color w:val="000000"/>
          <w:spacing w:val="2"/>
        </w:rPr>
        <w:t xml:space="preserve">  Where the employer requests such proof, the employee must produce it within the 10 day period following the request being made.</w:t>
      </w:r>
    </w:p>
    <w:p w14:paraId="648317ED" w14:textId="336810EB" w:rsidR="00171755" w:rsidRPr="00171755" w:rsidRDefault="00171755" w:rsidP="00171755">
      <w:pPr>
        <w:shd w:val="clear" w:color="auto" w:fill="FFFFFF"/>
        <w:spacing w:after="0" w:line="240" w:lineRule="auto"/>
        <w:rPr>
          <w:rFonts w:ascii="Calibri" w:eastAsia="Times New Roman" w:hAnsi="Calibri" w:cs="Calibri"/>
          <w:b/>
          <w:color w:val="000000"/>
          <w:spacing w:val="2"/>
        </w:rPr>
      </w:pPr>
      <w:r w:rsidRPr="00171755">
        <w:rPr>
          <w:rFonts w:ascii="Calibri" w:eastAsia="Times New Roman" w:hAnsi="Calibri" w:cs="Calibri"/>
          <w:b/>
          <w:color w:val="000000"/>
          <w:spacing w:val="2"/>
        </w:rPr>
        <w:t>Approving a Request</w:t>
      </w:r>
    </w:p>
    <w:p w14:paraId="3A5DC4D0" w14:textId="22831B43" w:rsidR="00171755" w:rsidRPr="007F3FDF" w:rsidRDefault="00E3321B" w:rsidP="007F27E9">
      <w:pPr>
        <w:shd w:val="clear" w:color="auto" w:fill="FFFFFF"/>
        <w:spacing w:after="225" w:line="240" w:lineRule="auto"/>
        <w:jc w:val="both"/>
        <w:rPr>
          <w:rFonts w:ascii="Calibri" w:eastAsia="Times New Roman" w:hAnsi="Calibri" w:cs="Calibri"/>
          <w:color w:val="000000"/>
          <w:spacing w:val="2"/>
        </w:rPr>
      </w:pPr>
      <w:r>
        <w:t xml:space="preserve">Requests may be made by the employee or their representative.  </w:t>
      </w:r>
      <w:r w:rsidR="00171755">
        <w:t>Employers who, after considering a request, agree with the new working arrangement, must notify the employee of their approval in writing. The agreed new working arrangement will be a permanent change to the employee’s terms and conditions of employment, unless agreed otherwise. Where a trial period or time limited period has been agreed this should also be detailed.</w:t>
      </w:r>
    </w:p>
    <w:p w14:paraId="5F21726E" w14:textId="70C0545A" w:rsidR="00171755" w:rsidRDefault="00171755" w:rsidP="007F3FDF">
      <w:pPr>
        <w:shd w:val="clear" w:color="auto" w:fill="FFFFFF"/>
        <w:spacing w:after="0" w:line="240" w:lineRule="auto"/>
        <w:outlineLvl w:val="3"/>
        <w:rPr>
          <w:rFonts w:ascii="Calibri" w:eastAsia="Times New Roman" w:hAnsi="Calibri" w:cs="Calibri"/>
          <w:b/>
          <w:color w:val="000000"/>
        </w:rPr>
      </w:pPr>
      <w:r>
        <w:rPr>
          <w:rFonts w:ascii="Calibri" w:eastAsia="Times New Roman" w:hAnsi="Calibri" w:cs="Calibri"/>
          <w:b/>
          <w:color w:val="000000"/>
        </w:rPr>
        <w:t>Declining a Request</w:t>
      </w:r>
    </w:p>
    <w:p w14:paraId="229BC5FB" w14:textId="77777777" w:rsidR="007F27E9" w:rsidRDefault="007F27E9" w:rsidP="007F27E9">
      <w:pPr>
        <w:shd w:val="clear" w:color="auto" w:fill="FFFFFF"/>
        <w:spacing w:after="0" w:line="240" w:lineRule="auto"/>
        <w:jc w:val="both"/>
        <w:outlineLvl w:val="3"/>
      </w:pPr>
      <w:r>
        <w:t xml:space="preserve">Employers have an obligation to consider requests properly, in accordance with the set process, which includes answering employees’ requests in writing.  They are also obliged to </w:t>
      </w:r>
    </w:p>
    <w:p w14:paraId="62D2276C" w14:textId="77777777" w:rsidR="007F27E9" w:rsidRPr="007F27E9" w:rsidRDefault="007F27E9" w:rsidP="007F27E9">
      <w:pPr>
        <w:pStyle w:val="ListParagraph"/>
        <w:numPr>
          <w:ilvl w:val="0"/>
          <w:numId w:val="2"/>
        </w:numPr>
        <w:shd w:val="clear" w:color="auto" w:fill="FFFFFF"/>
        <w:spacing w:after="0" w:line="240" w:lineRule="auto"/>
        <w:jc w:val="both"/>
        <w:outlineLvl w:val="3"/>
        <w:rPr>
          <w:rFonts w:ascii="Calibri" w:eastAsia="Times New Roman" w:hAnsi="Calibri" w:cs="Calibri"/>
          <w:b/>
          <w:color w:val="000000"/>
        </w:rPr>
      </w:pPr>
      <w:r>
        <w:t xml:space="preserve">adhere to the time limits contained within the process. </w:t>
      </w:r>
    </w:p>
    <w:p w14:paraId="50D3FD17" w14:textId="2B150FA4" w:rsidR="007F27E9" w:rsidRPr="007F27E9" w:rsidRDefault="007F27E9" w:rsidP="007F27E9">
      <w:pPr>
        <w:pStyle w:val="ListParagraph"/>
        <w:numPr>
          <w:ilvl w:val="0"/>
          <w:numId w:val="2"/>
        </w:numPr>
        <w:shd w:val="clear" w:color="auto" w:fill="FFFFFF"/>
        <w:spacing w:after="0" w:line="240" w:lineRule="auto"/>
        <w:jc w:val="both"/>
        <w:outlineLvl w:val="3"/>
        <w:rPr>
          <w:rFonts w:ascii="Calibri" w:eastAsia="Times New Roman" w:hAnsi="Calibri" w:cs="Calibri"/>
          <w:b/>
          <w:color w:val="000000"/>
        </w:rPr>
      </w:pPr>
      <w:r>
        <w:t xml:space="preserve">provide the employee with appropriate support and information during the course of the request. </w:t>
      </w:r>
    </w:p>
    <w:p w14:paraId="1D70EC4B" w14:textId="402290B1" w:rsidR="00171755" w:rsidRPr="007F27E9" w:rsidRDefault="007F27E9" w:rsidP="007F27E9">
      <w:pPr>
        <w:pStyle w:val="ListParagraph"/>
        <w:numPr>
          <w:ilvl w:val="0"/>
          <w:numId w:val="2"/>
        </w:numPr>
        <w:shd w:val="clear" w:color="auto" w:fill="FFFFFF"/>
        <w:spacing w:after="0" w:line="240" w:lineRule="auto"/>
        <w:jc w:val="both"/>
        <w:outlineLvl w:val="3"/>
        <w:rPr>
          <w:rFonts w:ascii="Calibri" w:eastAsia="Times New Roman" w:hAnsi="Calibri" w:cs="Calibri"/>
          <w:b/>
          <w:color w:val="000000"/>
        </w:rPr>
      </w:pPr>
      <w:r>
        <w:t xml:space="preserve">refuse a request only where there is a </w:t>
      </w:r>
      <w:proofErr w:type="spellStart"/>
      <w:r>
        <w:t>Recognised</w:t>
      </w:r>
      <w:proofErr w:type="spellEnd"/>
      <w:r>
        <w:t xml:space="preserve"> Business Ground and to explain to the employee in writing why it applies</w:t>
      </w:r>
      <w:r w:rsidR="00E3321B">
        <w:t>; or where proof of domestic violence was required to be produced and was not produced within 10 working days after the request was made</w:t>
      </w:r>
      <w:r>
        <w:t xml:space="preserve">. </w:t>
      </w:r>
    </w:p>
    <w:p w14:paraId="6E23059A" w14:textId="6B01B33C" w:rsidR="007F27E9" w:rsidRDefault="007F27E9" w:rsidP="007F27E9">
      <w:pPr>
        <w:shd w:val="clear" w:color="auto" w:fill="FFFFFF"/>
        <w:spacing w:after="0" w:line="240" w:lineRule="auto"/>
        <w:jc w:val="both"/>
        <w:outlineLvl w:val="3"/>
        <w:rPr>
          <w:rFonts w:ascii="Calibri" w:eastAsia="Times New Roman" w:hAnsi="Calibri" w:cs="Calibri"/>
          <w:b/>
          <w:color w:val="000000"/>
        </w:rPr>
      </w:pPr>
    </w:p>
    <w:p w14:paraId="77E38A52" w14:textId="5F193488" w:rsidR="007F27E9" w:rsidRDefault="007F27E9" w:rsidP="007F27E9">
      <w:pPr>
        <w:spacing w:after="0"/>
        <w:jc w:val="both"/>
      </w:pPr>
      <w:r>
        <w:t xml:space="preserve">There </w:t>
      </w:r>
      <w:r w:rsidR="00636FBD">
        <w:t>may</w:t>
      </w:r>
      <w:r>
        <w:t xml:space="preserve"> be circumstances where, due to the needs of the business, the employer feels they are unable to accept a request</w:t>
      </w:r>
      <w:r w:rsidR="00636FBD">
        <w:t xml:space="preserve"> under the Act</w:t>
      </w:r>
      <w:r>
        <w:t xml:space="preserve">. Employers are able to refuse a request on one or more of the following </w:t>
      </w:r>
      <w:proofErr w:type="spellStart"/>
      <w:r>
        <w:t>Recognised</w:t>
      </w:r>
      <w:proofErr w:type="spellEnd"/>
      <w:r>
        <w:t xml:space="preserve"> Business Grounds</w:t>
      </w:r>
      <w:r w:rsidR="00E3321B">
        <w:t>:</w:t>
      </w:r>
      <w:r>
        <w:t xml:space="preserve"> </w:t>
      </w:r>
    </w:p>
    <w:p w14:paraId="0C32BD1D" w14:textId="77777777" w:rsidR="007F27E9" w:rsidRPr="007F27E9" w:rsidRDefault="007F27E9" w:rsidP="007F27E9">
      <w:pPr>
        <w:pStyle w:val="ListParagraph"/>
        <w:numPr>
          <w:ilvl w:val="0"/>
          <w:numId w:val="2"/>
        </w:numPr>
        <w:jc w:val="both"/>
        <w:rPr>
          <w:rFonts w:ascii="Calibri" w:hAnsi="Calibri" w:cs="Calibri"/>
        </w:rPr>
      </w:pPr>
      <w:r>
        <w:t xml:space="preserve">inability to </w:t>
      </w:r>
      <w:proofErr w:type="spellStart"/>
      <w:r>
        <w:t>reorganise</w:t>
      </w:r>
      <w:proofErr w:type="spellEnd"/>
      <w:r>
        <w:t xml:space="preserve"> work among existing staff</w:t>
      </w:r>
    </w:p>
    <w:p w14:paraId="703C05D1" w14:textId="77777777" w:rsidR="007F27E9" w:rsidRPr="007F27E9" w:rsidRDefault="007F27E9" w:rsidP="007F27E9">
      <w:pPr>
        <w:pStyle w:val="ListParagraph"/>
        <w:numPr>
          <w:ilvl w:val="0"/>
          <w:numId w:val="2"/>
        </w:numPr>
        <w:jc w:val="both"/>
        <w:rPr>
          <w:rFonts w:ascii="Calibri" w:hAnsi="Calibri" w:cs="Calibri"/>
        </w:rPr>
      </w:pPr>
      <w:r>
        <w:t>inability to recruit additional staff</w:t>
      </w:r>
    </w:p>
    <w:p w14:paraId="6CAEE796" w14:textId="77777777" w:rsidR="007F27E9" w:rsidRPr="007F27E9" w:rsidRDefault="007F27E9" w:rsidP="007F27E9">
      <w:pPr>
        <w:pStyle w:val="ListParagraph"/>
        <w:numPr>
          <w:ilvl w:val="0"/>
          <w:numId w:val="2"/>
        </w:numPr>
        <w:jc w:val="both"/>
        <w:rPr>
          <w:rFonts w:ascii="Calibri" w:hAnsi="Calibri" w:cs="Calibri"/>
        </w:rPr>
      </w:pPr>
      <w:r>
        <w:t xml:space="preserve">detrimental impact on quality </w:t>
      </w:r>
    </w:p>
    <w:p w14:paraId="1A148193" w14:textId="77777777" w:rsidR="007F27E9" w:rsidRPr="007F27E9" w:rsidRDefault="007F27E9" w:rsidP="007F27E9">
      <w:pPr>
        <w:pStyle w:val="ListParagraph"/>
        <w:numPr>
          <w:ilvl w:val="0"/>
          <w:numId w:val="2"/>
        </w:numPr>
        <w:jc w:val="both"/>
        <w:rPr>
          <w:rFonts w:ascii="Calibri" w:hAnsi="Calibri" w:cs="Calibri"/>
        </w:rPr>
      </w:pPr>
      <w:r>
        <w:t xml:space="preserve">detrimental impact on performance </w:t>
      </w:r>
    </w:p>
    <w:p w14:paraId="11D178B2" w14:textId="77777777" w:rsidR="007F27E9" w:rsidRPr="007F27E9" w:rsidRDefault="007F27E9" w:rsidP="007F27E9">
      <w:pPr>
        <w:pStyle w:val="ListParagraph"/>
        <w:numPr>
          <w:ilvl w:val="0"/>
          <w:numId w:val="2"/>
        </w:numPr>
        <w:jc w:val="both"/>
        <w:rPr>
          <w:rFonts w:ascii="Calibri" w:hAnsi="Calibri" w:cs="Calibri"/>
        </w:rPr>
      </w:pPr>
      <w:r>
        <w:t xml:space="preserve">insufficiency of work during the periods the employee proposes to work </w:t>
      </w:r>
    </w:p>
    <w:p w14:paraId="3061489A" w14:textId="77777777" w:rsidR="007F27E9" w:rsidRPr="007F27E9" w:rsidRDefault="007F27E9" w:rsidP="007F27E9">
      <w:pPr>
        <w:pStyle w:val="ListParagraph"/>
        <w:numPr>
          <w:ilvl w:val="0"/>
          <w:numId w:val="2"/>
        </w:numPr>
        <w:jc w:val="both"/>
        <w:rPr>
          <w:rFonts w:ascii="Calibri" w:hAnsi="Calibri" w:cs="Calibri"/>
        </w:rPr>
      </w:pPr>
      <w:r>
        <w:t xml:space="preserve">planned structural changes </w:t>
      </w:r>
    </w:p>
    <w:p w14:paraId="36C88D98" w14:textId="77777777" w:rsidR="007F27E9" w:rsidRPr="007F27E9" w:rsidRDefault="007F27E9" w:rsidP="007F27E9">
      <w:pPr>
        <w:pStyle w:val="ListParagraph"/>
        <w:numPr>
          <w:ilvl w:val="0"/>
          <w:numId w:val="2"/>
        </w:numPr>
        <w:jc w:val="both"/>
        <w:rPr>
          <w:rFonts w:ascii="Calibri" w:hAnsi="Calibri" w:cs="Calibri"/>
        </w:rPr>
      </w:pPr>
      <w:r>
        <w:t xml:space="preserve">burden of additional costs </w:t>
      </w:r>
    </w:p>
    <w:p w14:paraId="014932AD" w14:textId="087BD75B" w:rsidR="007F27E9" w:rsidRPr="007F27E9" w:rsidRDefault="007F27E9" w:rsidP="007F27E9">
      <w:pPr>
        <w:pStyle w:val="ListParagraph"/>
        <w:numPr>
          <w:ilvl w:val="0"/>
          <w:numId w:val="2"/>
        </w:numPr>
        <w:jc w:val="both"/>
        <w:rPr>
          <w:rFonts w:ascii="Calibri" w:hAnsi="Calibri" w:cs="Calibri"/>
        </w:rPr>
      </w:pPr>
      <w:r>
        <w:t>detrimental effect on ability to meet customer demand.</w:t>
      </w:r>
    </w:p>
    <w:p w14:paraId="522A8B02" w14:textId="68096192" w:rsidR="00326E31" w:rsidRPr="00326E31" w:rsidRDefault="00326E31" w:rsidP="00326E31">
      <w:pPr>
        <w:shd w:val="clear" w:color="auto" w:fill="FFFFFF"/>
        <w:spacing w:after="0" w:line="240" w:lineRule="auto"/>
        <w:outlineLvl w:val="3"/>
        <w:rPr>
          <w:rFonts w:ascii="Calibri" w:eastAsia="Times New Roman" w:hAnsi="Calibri" w:cs="Calibri"/>
          <w:b/>
        </w:rPr>
      </w:pPr>
      <w:r w:rsidRPr="00326E31">
        <w:rPr>
          <w:rFonts w:ascii="Calibri" w:eastAsia="Times New Roman" w:hAnsi="Calibri" w:cs="Calibri"/>
          <w:b/>
        </w:rPr>
        <w:t xml:space="preserve">Adverse </w:t>
      </w:r>
      <w:r w:rsidR="00151BFF">
        <w:rPr>
          <w:rFonts w:ascii="Calibri" w:eastAsia="Times New Roman" w:hAnsi="Calibri" w:cs="Calibri"/>
          <w:b/>
        </w:rPr>
        <w:t>T</w:t>
      </w:r>
      <w:r w:rsidRPr="00326E31">
        <w:rPr>
          <w:rFonts w:ascii="Calibri" w:eastAsia="Times New Roman" w:hAnsi="Calibri" w:cs="Calibri"/>
          <w:b/>
        </w:rPr>
        <w:t xml:space="preserve">reatment in </w:t>
      </w:r>
      <w:r w:rsidR="00151BFF">
        <w:rPr>
          <w:rFonts w:ascii="Calibri" w:eastAsia="Times New Roman" w:hAnsi="Calibri" w:cs="Calibri"/>
          <w:b/>
        </w:rPr>
        <w:t>E</w:t>
      </w:r>
      <w:r w:rsidRPr="00326E31">
        <w:rPr>
          <w:rFonts w:ascii="Calibri" w:eastAsia="Times New Roman" w:hAnsi="Calibri" w:cs="Calibri"/>
          <w:b/>
        </w:rPr>
        <w:t>mployment</w:t>
      </w:r>
    </w:p>
    <w:p w14:paraId="4523AFFB" w14:textId="77777777" w:rsidR="00326E31" w:rsidRPr="000B1BDB" w:rsidRDefault="00326E31" w:rsidP="000B1BDB">
      <w:pPr>
        <w:shd w:val="clear" w:color="auto" w:fill="FFFFFF"/>
        <w:spacing w:after="225" w:line="240" w:lineRule="auto"/>
        <w:jc w:val="both"/>
        <w:rPr>
          <w:rFonts w:ascii="Calibri" w:eastAsia="Times New Roman" w:hAnsi="Calibri" w:cs="Calibri"/>
          <w:color w:val="000000"/>
          <w:spacing w:val="2"/>
        </w:rPr>
      </w:pPr>
      <w:r w:rsidRPr="000B1BDB">
        <w:rPr>
          <w:rFonts w:ascii="Calibri" w:eastAsia="Times New Roman" w:hAnsi="Calibri" w:cs="Calibri"/>
          <w:color w:val="000000"/>
          <w:spacing w:val="2"/>
        </w:rPr>
        <w:t>Employees will have personal grievance or a claim under the Human Rights Act 1993 if they have been treated adversely in employment on the grounds that they are, or are suspected or assumed or believed to be, a person affected by domestic violence. </w:t>
      </w:r>
    </w:p>
    <w:p w14:paraId="5888EB19" w14:textId="120179B4" w:rsidR="007F3FDF" w:rsidRPr="007F3FDF" w:rsidRDefault="007F3FDF" w:rsidP="007F27E9">
      <w:pPr>
        <w:shd w:val="clear" w:color="auto" w:fill="FFFFFF"/>
        <w:spacing w:after="0" w:line="240" w:lineRule="auto"/>
        <w:jc w:val="both"/>
        <w:outlineLvl w:val="3"/>
        <w:rPr>
          <w:rFonts w:ascii="Calibri" w:eastAsia="Times New Roman" w:hAnsi="Calibri" w:cs="Calibri"/>
          <w:b/>
          <w:color w:val="000000"/>
        </w:rPr>
      </w:pPr>
      <w:r w:rsidRPr="007F3FDF">
        <w:rPr>
          <w:rFonts w:ascii="Calibri" w:eastAsia="Times New Roman" w:hAnsi="Calibri" w:cs="Calibri"/>
          <w:b/>
          <w:color w:val="000000"/>
        </w:rPr>
        <w:lastRenderedPageBreak/>
        <w:t>Comment</w:t>
      </w:r>
    </w:p>
    <w:p w14:paraId="1EE5D9E1" w14:textId="77777777" w:rsidR="00636FBD" w:rsidRDefault="007F3FDF" w:rsidP="007F27E9">
      <w:pPr>
        <w:shd w:val="clear" w:color="auto" w:fill="FFFFFF"/>
        <w:spacing w:after="225" w:line="240" w:lineRule="auto"/>
        <w:jc w:val="both"/>
        <w:rPr>
          <w:rFonts w:ascii="Calibri" w:eastAsia="Times New Roman" w:hAnsi="Calibri" w:cs="Calibri"/>
          <w:color w:val="000000"/>
          <w:spacing w:val="2"/>
        </w:rPr>
      </w:pPr>
      <w:r w:rsidRPr="007F3FDF">
        <w:rPr>
          <w:rFonts w:ascii="Calibri" w:eastAsia="Times New Roman" w:hAnsi="Calibri" w:cs="Calibri"/>
          <w:color w:val="000000"/>
          <w:spacing w:val="2"/>
        </w:rPr>
        <w:t>Employers do not</w:t>
      </w:r>
      <w:r w:rsidR="00636FBD">
        <w:rPr>
          <w:rFonts w:ascii="Calibri" w:eastAsia="Times New Roman" w:hAnsi="Calibri" w:cs="Calibri"/>
          <w:color w:val="000000"/>
          <w:spacing w:val="2"/>
        </w:rPr>
        <w:t xml:space="preserve"> necessarily</w:t>
      </w:r>
      <w:r w:rsidRPr="007F3FDF">
        <w:rPr>
          <w:rFonts w:ascii="Calibri" w:eastAsia="Times New Roman" w:hAnsi="Calibri" w:cs="Calibri"/>
          <w:color w:val="000000"/>
          <w:spacing w:val="2"/>
        </w:rPr>
        <w:t xml:space="preserve"> need to introduce new policies or incorporate any of the legislative requirements into employment agreements.  However, </w:t>
      </w:r>
      <w:proofErr w:type="spellStart"/>
      <w:r w:rsidRPr="007F3FDF">
        <w:rPr>
          <w:rFonts w:ascii="Calibri" w:eastAsia="Times New Roman" w:hAnsi="Calibri" w:cs="Calibri"/>
          <w:color w:val="000000"/>
          <w:spacing w:val="2"/>
        </w:rPr>
        <w:t>organisations</w:t>
      </w:r>
      <w:proofErr w:type="spellEnd"/>
      <w:r w:rsidRPr="007F3FDF">
        <w:rPr>
          <w:rFonts w:ascii="Calibri" w:eastAsia="Times New Roman" w:hAnsi="Calibri" w:cs="Calibri"/>
          <w:color w:val="000000"/>
          <w:spacing w:val="2"/>
        </w:rPr>
        <w:t xml:space="preserve"> need to</w:t>
      </w:r>
      <w:r w:rsidR="00636FBD">
        <w:rPr>
          <w:rFonts w:ascii="Calibri" w:eastAsia="Times New Roman" w:hAnsi="Calibri" w:cs="Calibri"/>
          <w:color w:val="000000"/>
          <w:spacing w:val="2"/>
        </w:rPr>
        <w:t xml:space="preserve"> be aware of these changes, and</w:t>
      </w:r>
      <w:r w:rsidRPr="007F3FDF">
        <w:rPr>
          <w:rFonts w:ascii="Calibri" w:eastAsia="Times New Roman" w:hAnsi="Calibri" w:cs="Calibri"/>
          <w:color w:val="000000"/>
          <w:spacing w:val="2"/>
        </w:rPr>
        <w:t xml:space="preserve"> consider how they will practically deal with requests for domestic violence leave or flexible working</w:t>
      </w:r>
      <w:r w:rsidR="00636FBD">
        <w:rPr>
          <w:rFonts w:ascii="Calibri" w:eastAsia="Times New Roman" w:hAnsi="Calibri" w:cs="Calibri"/>
          <w:color w:val="000000"/>
          <w:spacing w:val="2"/>
        </w:rPr>
        <w:t xml:space="preserve"> arrangements</w:t>
      </w:r>
      <w:r w:rsidRPr="007F3FDF">
        <w:rPr>
          <w:rFonts w:ascii="Calibri" w:eastAsia="Times New Roman" w:hAnsi="Calibri" w:cs="Calibri"/>
          <w:color w:val="000000"/>
          <w:spacing w:val="2"/>
        </w:rPr>
        <w:t xml:space="preserve"> due to domestic violence.  </w:t>
      </w:r>
    </w:p>
    <w:p w14:paraId="17B005A3" w14:textId="3FA7AEB3" w:rsidR="007F3FDF" w:rsidRDefault="007F3FDF" w:rsidP="007F27E9">
      <w:pPr>
        <w:shd w:val="clear" w:color="auto" w:fill="FFFFFF"/>
        <w:spacing w:after="225" w:line="240" w:lineRule="auto"/>
        <w:jc w:val="both"/>
        <w:rPr>
          <w:rFonts w:ascii="Calibri" w:eastAsia="Times New Roman" w:hAnsi="Calibri" w:cs="Calibri"/>
          <w:color w:val="000000"/>
          <w:spacing w:val="2"/>
        </w:rPr>
      </w:pPr>
      <w:proofErr w:type="spellStart"/>
      <w:r w:rsidRPr="007F3FDF">
        <w:rPr>
          <w:rFonts w:ascii="Calibri" w:eastAsia="Times New Roman" w:hAnsi="Calibri" w:cs="Calibri"/>
          <w:color w:val="000000"/>
          <w:spacing w:val="2"/>
        </w:rPr>
        <w:t>Organisations</w:t>
      </w:r>
      <w:proofErr w:type="spellEnd"/>
      <w:r w:rsidRPr="007F3FDF">
        <w:rPr>
          <w:rFonts w:ascii="Calibri" w:eastAsia="Times New Roman" w:hAnsi="Calibri" w:cs="Calibri"/>
          <w:color w:val="000000"/>
          <w:spacing w:val="2"/>
        </w:rPr>
        <w:t xml:space="preserve"> will need to be particularly mindful of protecting and preserving the privacy, trust and confidence of their employees.</w:t>
      </w:r>
    </w:p>
    <w:p w14:paraId="7FE991FC" w14:textId="3E9265BC" w:rsidR="00F542BD" w:rsidRDefault="00F542BD" w:rsidP="007F27E9">
      <w:pPr>
        <w:shd w:val="clear" w:color="auto" w:fill="FFFFFF"/>
        <w:spacing w:after="225" w:line="240" w:lineRule="auto"/>
        <w:jc w:val="both"/>
        <w:rPr>
          <w:rFonts w:ascii="Calibri" w:eastAsia="Times New Roman" w:hAnsi="Calibri" w:cs="Calibri"/>
          <w:color w:val="000000"/>
          <w:spacing w:val="2"/>
        </w:rPr>
      </w:pPr>
    </w:p>
    <w:p w14:paraId="1155BA70" w14:textId="25206394" w:rsidR="00F542BD" w:rsidRPr="007F3FDF" w:rsidRDefault="00F542BD" w:rsidP="007F27E9">
      <w:pPr>
        <w:shd w:val="clear" w:color="auto" w:fill="FFFFFF"/>
        <w:spacing w:after="225" w:line="240" w:lineRule="auto"/>
        <w:jc w:val="both"/>
        <w:rPr>
          <w:rFonts w:ascii="Calibri" w:eastAsia="Times New Roman" w:hAnsi="Calibri" w:cs="Calibri"/>
          <w:color w:val="000000"/>
          <w:spacing w:val="2"/>
          <w:sz w:val="16"/>
          <w:szCs w:val="16"/>
        </w:rPr>
      </w:pPr>
      <w:r w:rsidRPr="00F542BD">
        <w:rPr>
          <w:rFonts w:ascii="Calibri" w:eastAsia="Times New Roman" w:hAnsi="Calibri" w:cs="Calibri"/>
          <w:color w:val="000000"/>
          <w:spacing w:val="2"/>
          <w:sz w:val="16"/>
          <w:szCs w:val="16"/>
        </w:rPr>
        <w:t>February 2019</w:t>
      </w:r>
    </w:p>
    <w:sectPr w:rsidR="00F542BD" w:rsidRPr="007F3F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5A05" w14:textId="77777777" w:rsidR="00070C96" w:rsidRDefault="00070C96" w:rsidP="00E410BC">
      <w:pPr>
        <w:spacing w:after="0" w:line="240" w:lineRule="auto"/>
      </w:pPr>
      <w:r>
        <w:separator/>
      </w:r>
    </w:p>
  </w:endnote>
  <w:endnote w:type="continuationSeparator" w:id="0">
    <w:p w14:paraId="7351AEB3" w14:textId="77777777" w:rsidR="00070C96" w:rsidRDefault="00070C96" w:rsidP="00E4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EF8F" w14:textId="77777777" w:rsidR="000E6F12" w:rsidRDefault="000E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7D8F" w14:textId="77777777" w:rsidR="000E6F12" w:rsidRDefault="000E6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6809" w14:textId="77777777" w:rsidR="000E6F12" w:rsidRDefault="000E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0278" w14:textId="77777777" w:rsidR="00070C96" w:rsidRDefault="00070C96" w:rsidP="00E410BC">
      <w:pPr>
        <w:spacing w:after="0" w:line="240" w:lineRule="auto"/>
      </w:pPr>
      <w:r>
        <w:separator/>
      </w:r>
    </w:p>
  </w:footnote>
  <w:footnote w:type="continuationSeparator" w:id="0">
    <w:p w14:paraId="0645D2A8" w14:textId="77777777" w:rsidR="00070C96" w:rsidRDefault="00070C96" w:rsidP="00E4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45CA" w14:textId="28EF7AAF" w:rsidR="000E6F12" w:rsidRDefault="000E6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9171" w14:textId="06425010" w:rsidR="00E410BC" w:rsidRDefault="00E410BC" w:rsidP="00F542BD">
    <w:pPr>
      <w:pStyle w:val="Header"/>
      <w:jc w:val="right"/>
    </w:pPr>
    <w:r w:rsidRPr="00E410BC">
      <w:rPr>
        <w:noProof/>
      </w:rPr>
      <w:drawing>
        <wp:inline distT="0" distB="0" distL="0" distR="0" wp14:anchorId="0F072481" wp14:editId="17B49267">
          <wp:extent cx="2593340" cy="72665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96689" cy="7556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5F4B" w14:textId="27C0C26C" w:rsidR="000E6F12" w:rsidRDefault="000E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1050"/>
    <w:multiLevelType w:val="hybridMultilevel"/>
    <w:tmpl w:val="15801EB6"/>
    <w:lvl w:ilvl="0" w:tplc="45F05CAE">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477CB"/>
    <w:multiLevelType w:val="multilevel"/>
    <w:tmpl w:val="DFDC8BF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DF"/>
    <w:rsid w:val="00053C87"/>
    <w:rsid w:val="00070C96"/>
    <w:rsid w:val="000B1BDB"/>
    <w:rsid w:val="000E6F12"/>
    <w:rsid w:val="00102C2F"/>
    <w:rsid w:val="00151BFF"/>
    <w:rsid w:val="00171755"/>
    <w:rsid w:val="00174773"/>
    <w:rsid w:val="0024494B"/>
    <w:rsid w:val="00277482"/>
    <w:rsid w:val="003004ED"/>
    <w:rsid w:val="00326E31"/>
    <w:rsid w:val="003C076C"/>
    <w:rsid w:val="004A13E2"/>
    <w:rsid w:val="00622034"/>
    <w:rsid w:val="00636FBD"/>
    <w:rsid w:val="0072747C"/>
    <w:rsid w:val="007F27E9"/>
    <w:rsid w:val="007F3FDF"/>
    <w:rsid w:val="0081255D"/>
    <w:rsid w:val="00937D1F"/>
    <w:rsid w:val="00AF71BD"/>
    <w:rsid w:val="00B62E7A"/>
    <w:rsid w:val="00D503A3"/>
    <w:rsid w:val="00D90210"/>
    <w:rsid w:val="00E3321B"/>
    <w:rsid w:val="00E410BC"/>
    <w:rsid w:val="00F542BD"/>
    <w:rsid w:val="00F560B0"/>
    <w:rsid w:val="00FA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A4C4B"/>
  <w15:chartTrackingRefBased/>
  <w15:docId w15:val="{D9AD00DD-E764-4CB2-8B16-C672CDA4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F3F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3F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F3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3FDF"/>
    <w:rPr>
      <w:color w:val="0000FF"/>
      <w:u w:val="single"/>
    </w:rPr>
  </w:style>
  <w:style w:type="paragraph" w:styleId="ListParagraph">
    <w:name w:val="List Paragraph"/>
    <w:basedOn w:val="Normal"/>
    <w:uiPriority w:val="34"/>
    <w:qFormat/>
    <w:rsid w:val="007F27E9"/>
    <w:pPr>
      <w:ind w:left="720"/>
      <w:contextualSpacing/>
    </w:pPr>
  </w:style>
  <w:style w:type="paragraph" w:styleId="Header">
    <w:name w:val="header"/>
    <w:basedOn w:val="Normal"/>
    <w:link w:val="HeaderChar"/>
    <w:uiPriority w:val="99"/>
    <w:unhideWhenUsed/>
    <w:rsid w:val="00E4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BC"/>
  </w:style>
  <w:style w:type="paragraph" w:styleId="Footer">
    <w:name w:val="footer"/>
    <w:basedOn w:val="Normal"/>
    <w:link w:val="FooterChar"/>
    <w:uiPriority w:val="99"/>
    <w:unhideWhenUsed/>
    <w:rsid w:val="00E4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BC"/>
  </w:style>
  <w:style w:type="paragraph" w:styleId="BalloonText">
    <w:name w:val="Balloon Text"/>
    <w:basedOn w:val="Normal"/>
    <w:link w:val="BalloonTextChar"/>
    <w:uiPriority w:val="99"/>
    <w:semiHidden/>
    <w:unhideWhenUsed/>
    <w:rsid w:val="0063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t.nz/bill/member/2016/0215/latest/DLM705431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Titcombe</dc:creator>
  <cp:keywords/>
  <dc:description/>
  <cp:lastModifiedBy>Graeme Titcombe</cp:lastModifiedBy>
  <cp:revision>2</cp:revision>
  <dcterms:created xsi:type="dcterms:W3CDTF">2019-03-11T22:48:00Z</dcterms:created>
  <dcterms:modified xsi:type="dcterms:W3CDTF">2019-03-11T22:48:00Z</dcterms:modified>
</cp:coreProperties>
</file>